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81"/>
        <w:tblW w:w="9985" w:type="dxa"/>
        <w:tblLook w:val="04A0" w:firstRow="1" w:lastRow="0" w:firstColumn="1" w:lastColumn="0" w:noHBand="0" w:noVBand="1"/>
      </w:tblPr>
      <w:tblGrid>
        <w:gridCol w:w="1885"/>
        <w:gridCol w:w="8100"/>
      </w:tblGrid>
      <w:tr w:rsidR="003376E4" w14:paraId="30ACCC50" w14:textId="77777777" w:rsidTr="0067199D">
        <w:tc>
          <w:tcPr>
            <w:tcW w:w="1885" w:type="dxa"/>
          </w:tcPr>
          <w:p w14:paraId="76762516" w14:textId="77777777" w:rsidR="003376E4" w:rsidRPr="002F71EF" w:rsidRDefault="003376E4" w:rsidP="003376E4">
            <w:r w:rsidRPr="002F71EF">
              <w:t>TODAY’S DATE:</w:t>
            </w:r>
          </w:p>
        </w:tc>
        <w:tc>
          <w:tcPr>
            <w:tcW w:w="8100" w:type="dxa"/>
          </w:tcPr>
          <w:p w14:paraId="2D79B1F5" w14:textId="77777777" w:rsidR="003376E4" w:rsidRPr="002F71EF" w:rsidRDefault="003376E4" w:rsidP="003376E4">
            <w:r w:rsidRPr="002F71EF">
              <w:rPr>
                <w:color w:val="FA00FF"/>
              </w:rPr>
              <w:t>[MONTH DAY, YEAR]</w:t>
            </w:r>
          </w:p>
        </w:tc>
      </w:tr>
      <w:tr w:rsidR="003376E4" w14:paraId="4C250172" w14:textId="77777777" w:rsidTr="0067199D">
        <w:tc>
          <w:tcPr>
            <w:tcW w:w="1885" w:type="dxa"/>
          </w:tcPr>
          <w:p w14:paraId="7026D766" w14:textId="77777777" w:rsidR="003376E4" w:rsidRPr="002F71EF" w:rsidRDefault="003376E4" w:rsidP="003376E4">
            <w:r>
              <w:t>TO:</w:t>
            </w:r>
          </w:p>
        </w:tc>
        <w:tc>
          <w:tcPr>
            <w:tcW w:w="8100" w:type="dxa"/>
          </w:tcPr>
          <w:p w14:paraId="1D22690E" w14:textId="4B7E8C6D" w:rsidR="003376E4" w:rsidRPr="002F71EF" w:rsidRDefault="003376E4" w:rsidP="003376E4">
            <w:r>
              <w:t>NADs, NOADs, and ADORAs</w:t>
            </w:r>
          </w:p>
        </w:tc>
      </w:tr>
      <w:tr w:rsidR="003376E4" w14:paraId="4480DE66" w14:textId="77777777" w:rsidTr="0067199D">
        <w:tc>
          <w:tcPr>
            <w:tcW w:w="1885" w:type="dxa"/>
          </w:tcPr>
          <w:p w14:paraId="42B55791" w14:textId="77777777" w:rsidR="003376E4" w:rsidRPr="002F71EF" w:rsidRDefault="003376E4" w:rsidP="003376E4">
            <w:r>
              <w:t>FROM:</w:t>
            </w:r>
          </w:p>
        </w:tc>
        <w:tc>
          <w:tcPr>
            <w:tcW w:w="8100" w:type="dxa"/>
          </w:tcPr>
          <w:p w14:paraId="41ED37C2" w14:textId="77777777" w:rsidR="003376E4" w:rsidRPr="002F71EF" w:rsidRDefault="003376E4" w:rsidP="003376E4">
            <w:r w:rsidRPr="002F71EF">
              <w:t xml:space="preserve">IO Access Strategy Team – </w:t>
            </w:r>
            <w:r>
              <w:t>Cheryl Chia</w:t>
            </w:r>
          </w:p>
        </w:tc>
      </w:tr>
      <w:tr w:rsidR="003376E4" w14:paraId="4CB2C00D" w14:textId="77777777" w:rsidTr="0067199D">
        <w:tc>
          <w:tcPr>
            <w:tcW w:w="1885" w:type="dxa"/>
          </w:tcPr>
          <w:p w14:paraId="1EE0CF7D" w14:textId="77777777" w:rsidR="003376E4" w:rsidRPr="002F71EF" w:rsidRDefault="003376E4" w:rsidP="003376E4">
            <w:r>
              <w:t>SUBJECT:</w:t>
            </w:r>
          </w:p>
        </w:tc>
        <w:tc>
          <w:tcPr>
            <w:tcW w:w="8100" w:type="dxa"/>
          </w:tcPr>
          <w:p w14:paraId="3184BF7C" w14:textId="77777777" w:rsidR="003376E4" w:rsidRPr="002F71EF" w:rsidRDefault="003376E4" w:rsidP="003376E4">
            <w:r w:rsidRPr="002F71EF">
              <w:t>Sample Order Set Template</w:t>
            </w:r>
          </w:p>
        </w:tc>
      </w:tr>
      <w:tr w:rsidR="003376E4" w14:paraId="2EFC0093" w14:textId="77777777" w:rsidTr="0067199D">
        <w:tc>
          <w:tcPr>
            <w:tcW w:w="1885" w:type="dxa"/>
          </w:tcPr>
          <w:p w14:paraId="007EA1EC" w14:textId="77777777" w:rsidR="003376E4" w:rsidRPr="002F71EF" w:rsidRDefault="003376E4" w:rsidP="003376E4">
            <w:r>
              <w:t>WHY ARE YOU RECEIVING THIS:</w:t>
            </w:r>
          </w:p>
        </w:tc>
        <w:tc>
          <w:tcPr>
            <w:tcW w:w="8100" w:type="dxa"/>
          </w:tcPr>
          <w:p w14:paraId="15167D21" w14:textId="45D4E5F1" w:rsidR="003376E4" w:rsidRDefault="003376E4" w:rsidP="003376E4">
            <w:r>
              <w:t xml:space="preserve">The Sample Order Set Template will help NADs, NOADs, and ADORAs </w:t>
            </w:r>
            <w:r w:rsidRPr="002F71EF">
              <w:rPr>
                <w:u w:val="single"/>
              </w:rPr>
              <w:t>proactively</w:t>
            </w:r>
            <w:r>
              <w:t xml:space="preserve"> share the type of information needed for EMR Order Sets.</w:t>
            </w:r>
          </w:p>
          <w:p w14:paraId="1ACB1CC7" w14:textId="77777777" w:rsidR="003376E4" w:rsidRDefault="003376E4" w:rsidP="003376E4"/>
          <w:p w14:paraId="7D1BCFB3" w14:textId="14015811" w:rsidR="003376E4" w:rsidRPr="002F71EF" w:rsidRDefault="003376E4" w:rsidP="003376E4">
            <w:r>
              <w:t>NOADs and ADORAs may also use the Sample Order Set</w:t>
            </w:r>
            <w:r w:rsidR="001022BC">
              <w:t xml:space="preserve"> Template</w:t>
            </w:r>
            <w:r>
              <w:t xml:space="preserve"> to reactively address healthcare questions from EMR users about the type of information included in an EMR Order Set based on triaged requests from OASs or OBMs on behalf of non-NOAD accounts.</w:t>
            </w:r>
          </w:p>
        </w:tc>
      </w:tr>
      <w:tr w:rsidR="003376E4" w14:paraId="25718842" w14:textId="77777777" w:rsidTr="0067199D">
        <w:tc>
          <w:tcPr>
            <w:tcW w:w="1885" w:type="dxa"/>
          </w:tcPr>
          <w:p w14:paraId="14AED0E9" w14:textId="77777777" w:rsidR="003376E4" w:rsidRPr="002F71EF" w:rsidRDefault="003376E4" w:rsidP="003376E4">
            <w:r>
              <w:t>DO:</w:t>
            </w:r>
          </w:p>
        </w:tc>
        <w:tc>
          <w:tcPr>
            <w:tcW w:w="8100" w:type="dxa"/>
          </w:tcPr>
          <w:p w14:paraId="11913564" w14:textId="5AF926AA" w:rsidR="003376E4" w:rsidRDefault="003376E4" w:rsidP="003376E4">
            <w:r>
              <w:t xml:space="preserve">NADs, NOADs, and ADORAs: Use the Sample Order Set Template to </w:t>
            </w:r>
            <w:r w:rsidRPr="002F71EF">
              <w:rPr>
                <w:u w:val="single"/>
              </w:rPr>
              <w:t>proactively</w:t>
            </w:r>
            <w:r>
              <w:t xml:space="preserve"> share the type of information needed for EMR Order Sets.</w:t>
            </w:r>
          </w:p>
          <w:p w14:paraId="0ABA0064" w14:textId="77777777" w:rsidR="003376E4" w:rsidRDefault="003376E4" w:rsidP="003376E4"/>
          <w:p w14:paraId="1CADC59C" w14:textId="579A2C62" w:rsidR="003376E4" w:rsidRDefault="003376E4" w:rsidP="003376E4">
            <w:r>
              <w:t>NOADs and ADORAs: Use the Sample Order Set</w:t>
            </w:r>
            <w:r w:rsidR="001022BC">
              <w:t xml:space="preserve"> Template</w:t>
            </w:r>
            <w:r>
              <w:t xml:space="preserve"> to reactively address healthcare questions from EMR users about the type of information included in an EMR Order Set based on triaged requests from OASs or OBMs on behalf of non-NOAD accounts.</w:t>
            </w:r>
          </w:p>
          <w:p w14:paraId="5182BDE0" w14:textId="77777777" w:rsidR="003376E4" w:rsidRDefault="003376E4" w:rsidP="003376E4"/>
          <w:p w14:paraId="1FBB09CD" w14:textId="2F4E244A" w:rsidR="003376E4" w:rsidRDefault="003376E4" w:rsidP="003376E4">
            <w:r>
              <w:t>The NAD/NOAD/ADORA will be present at the meeting, but if Medical is not present, refer questions to Medical Information via an MIR.</w:t>
            </w:r>
          </w:p>
          <w:p w14:paraId="6573C5A0" w14:textId="77777777" w:rsidR="003376E4" w:rsidRPr="002F71EF" w:rsidRDefault="003376E4" w:rsidP="003376E4">
            <w:r>
              <w:t>The AstraZeneca Information Center can be reached at 1-800-236-9933.</w:t>
            </w:r>
          </w:p>
        </w:tc>
      </w:tr>
      <w:tr w:rsidR="003376E4" w14:paraId="0541BBEE" w14:textId="77777777" w:rsidTr="0067199D">
        <w:trPr>
          <w:trHeight w:val="927"/>
        </w:trPr>
        <w:tc>
          <w:tcPr>
            <w:tcW w:w="1885" w:type="dxa"/>
          </w:tcPr>
          <w:p w14:paraId="0F850C7E" w14:textId="77777777" w:rsidR="003376E4" w:rsidRPr="002F71EF" w:rsidRDefault="003376E4" w:rsidP="003376E4">
            <w:r>
              <w:t>WHO:</w:t>
            </w:r>
          </w:p>
        </w:tc>
        <w:tc>
          <w:tcPr>
            <w:tcW w:w="8100" w:type="dxa"/>
          </w:tcPr>
          <w:p w14:paraId="7E3D004E" w14:textId="50B002D0" w:rsidR="003376E4" w:rsidRPr="0029273C" w:rsidRDefault="003376E4" w:rsidP="003376E4">
            <w:r w:rsidRPr="0029273C">
              <w:t xml:space="preserve">EMR users at the </w:t>
            </w:r>
            <w:r w:rsidR="001022BC" w:rsidRPr="0029273C">
              <w:t>i</w:t>
            </w:r>
            <w:r w:rsidRPr="0029273C">
              <w:t xml:space="preserve">nstitution or </w:t>
            </w:r>
            <w:r w:rsidR="001022BC" w:rsidRPr="0029273C">
              <w:t>h</w:t>
            </w:r>
            <w:r w:rsidRPr="0029273C">
              <w:t xml:space="preserve">ealth </w:t>
            </w:r>
            <w:r w:rsidR="001022BC" w:rsidRPr="0029273C">
              <w:t>s</w:t>
            </w:r>
            <w:r w:rsidRPr="0029273C">
              <w:t>ystem; EMR users, Medical Directors, and Pharmacy Directors who have decision-making responsibilities for access to therapy.</w:t>
            </w:r>
          </w:p>
        </w:tc>
      </w:tr>
      <w:tr w:rsidR="003376E4" w14:paraId="1FB58702" w14:textId="77777777" w:rsidTr="0067199D">
        <w:tc>
          <w:tcPr>
            <w:tcW w:w="1885" w:type="dxa"/>
          </w:tcPr>
          <w:p w14:paraId="45D35C39" w14:textId="77777777" w:rsidR="003376E4" w:rsidRPr="002F71EF" w:rsidRDefault="003376E4" w:rsidP="003376E4">
            <w:r>
              <w:t>MUST:</w:t>
            </w:r>
          </w:p>
        </w:tc>
        <w:tc>
          <w:tcPr>
            <w:tcW w:w="8100" w:type="dxa"/>
          </w:tcPr>
          <w:p w14:paraId="5885CA7A" w14:textId="2CE3CB4A" w:rsidR="003376E4" w:rsidRPr="002F71EF" w:rsidRDefault="003376E4" w:rsidP="003376E4">
            <w:r w:rsidRPr="002F71EF">
              <w:t xml:space="preserve">EMR users can independently transfer the information to their specific </w:t>
            </w:r>
            <w:r w:rsidR="001022BC">
              <w:t>o</w:t>
            </w:r>
            <w:r w:rsidRPr="002F71EF">
              <w:t>rder</w:t>
            </w:r>
            <w:r w:rsidR="001022BC">
              <w:t xml:space="preserve"> s</w:t>
            </w:r>
            <w:r w:rsidRPr="002F71EF">
              <w:t>et, if necessary. The Sample Order Set Template will be delivered by NADs, NOADs, and ADORAs as separate and distinct</w:t>
            </w:r>
            <w:r w:rsidR="001022BC">
              <w:t xml:space="preserve"> examples</w:t>
            </w:r>
            <w:r w:rsidRPr="002F71EF">
              <w:t xml:space="preserve"> from any branded discussions.</w:t>
            </w:r>
          </w:p>
        </w:tc>
      </w:tr>
      <w:tr w:rsidR="003376E4" w14:paraId="7931AB30" w14:textId="77777777" w:rsidTr="0067199D">
        <w:tc>
          <w:tcPr>
            <w:tcW w:w="1885" w:type="dxa"/>
          </w:tcPr>
          <w:p w14:paraId="120925A8" w14:textId="77777777" w:rsidR="003376E4" w:rsidRPr="002F71EF" w:rsidRDefault="003376E4" w:rsidP="003376E4">
            <w:r>
              <w:t>DO NOT:</w:t>
            </w:r>
          </w:p>
        </w:tc>
        <w:tc>
          <w:tcPr>
            <w:tcW w:w="8100" w:type="dxa"/>
          </w:tcPr>
          <w:p w14:paraId="03F64DEA" w14:textId="7253CEE8" w:rsidR="003376E4" w:rsidRDefault="003376E4" w:rsidP="00DE6D37">
            <w:pPr>
              <w:ind w:left="720" w:hanging="720"/>
            </w:pPr>
            <w:r>
              <w:t>•</w:t>
            </w:r>
            <w:r w:rsidR="00DE6D37">
              <w:t xml:space="preserve"> </w:t>
            </w:r>
            <w:r>
              <w:t xml:space="preserve">Do not discuss </w:t>
            </w:r>
            <w:r w:rsidR="0067199D">
              <w:t>AstraZeneca</w:t>
            </w:r>
            <w:r>
              <w:t xml:space="preserve"> products or new uses that are not FDA</w:t>
            </w:r>
            <w:r w:rsidR="001022BC">
              <w:t xml:space="preserve"> </w:t>
            </w:r>
            <w:r>
              <w:t>approved</w:t>
            </w:r>
          </w:p>
          <w:p w14:paraId="1B17C01C" w14:textId="031837B0" w:rsidR="003376E4" w:rsidRPr="002F71EF" w:rsidRDefault="003376E4" w:rsidP="00DE6D37">
            <w:pPr>
              <w:ind w:left="720" w:hanging="720"/>
            </w:pPr>
            <w:r>
              <w:t>•</w:t>
            </w:r>
            <w:r w:rsidR="00DE6D37">
              <w:t xml:space="preserve"> </w:t>
            </w:r>
            <w:r>
              <w:t xml:space="preserve">Do not assist EMR users with implementing the </w:t>
            </w:r>
            <w:r w:rsidR="001022BC">
              <w:t>o</w:t>
            </w:r>
            <w:r>
              <w:t xml:space="preserve">rder </w:t>
            </w:r>
            <w:r w:rsidR="001022BC">
              <w:t>s</w:t>
            </w:r>
            <w:r>
              <w:t>et into their system</w:t>
            </w:r>
          </w:p>
        </w:tc>
      </w:tr>
      <w:tr w:rsidR="003376E4" w14:paraId="417056D9" w14:textId="77777777" w:rsidTr="0067199D">
        <w:tc>
          <w:tcPr>
            <w:tcW w:w="1885" w:type="dxa"/>
          </w:tcPr>
          <w:p w14:paraId="01815969" w14:textId="77777777" w:rsidR="003376E4" w:rsidRPr="002F71EF" w:rsidRDefault="003376E4" w:rsidP="003376E4">
            <w:r>
              <w:t>FOR MORE INFORMATION CONTACT:</w:t>
            </w:r>
          </w:p>
        </w:tc>
        <w:tc>
          <w:tcPr>
            <w:tcW w:w="8100" w:type="dxa"/>
          </w:tcPr>
          <w:p w14:paraId="5A4FC61E" w14:textId="1D841116" w:rsidR="003376E4" w:rsidRPr="002F71EF" w:rsidRDefault="003376E4" w:rsidP="003376E4">
            <w:r w:rsidRPr="002F71EF">
              <w:t xml:space="preserve">If you have any questions regarding this information or about communicating with your customer, please discuss with your Manager or contact </w:t>
            </w:r>
            <w:r>
              <w:t>Cheryl Chia</w:t>
            </w:r>
            <w:r w:rsidRPr="002F71EF">
              <w:t xml:space="preserve"> at </w:t>
            </w:r>
            <w:r>
              <w:t>Cheryl.</w:t>
            </w:r>
            <w:r w:rsidR="006727FE">
              <w:t>C</w:t>
            </w:r>
            <w:r>
              <w:t>hia</w:t>
            </w:r>
            <w:r w:rsidRPr="002F71EF">
              <w:t>@astrazeneca.com.</w:t>
            </w:r>
          </w:p>
        </w:tc>
      </w:tr>
    </w:tbl>
    <w:p w14:paraId="7D2189AE" w14:textId="77777777" w:rsidR="003376E4" w:rsidRDefault="003376E4" w:rsidP="002F71EF">
      <w:pPr>
        <w:rPr>
          <w:sz w:val="36"/>
          <w:szCs w:val="36"/>
        </w:rPr>
      </w:pPr>
    </w:p>
    <w:p w14:paraId="119324F7" w14:textId="77777777" w:rsidR="00186710" w:rsidRDefault="00186710" w:rsidP="002F71EF">
      <w:pPr>
        <w:rPr>
          <w:sz w:val="18"/>
          <w:szCs w:val="18"/>
        </w:rPr>
      </w:pPr>
    </w:p>
    <w:p w14:paraId="4F07D80D" w14:textId="277D6B89" w:rsidR="003F5A1B" w:rsidRPr="00511F20" w:rsidRDefault="002F71EF" w:rsidP="002F71EF">
      <w:pPr>
        <w:rPr>
          <w:b/>
          <w:bCs/>
          <w:sz w:val="56"/>
          <w:szCs w:val="56"/>
        </w:rPr>
      </w:pPr>
      <w:r w:rsidRPr="00511F20">
        <w:rPr>
          <w:sz w:val="20"/>
          <w:szCs w:val="20"/>
        </w:rPr>
        <w:t>ADORA=Associate Director of Oncology Regional Accounts; EMR=electronic medical record; FDA=US Food and Drug Administration; IO=immuno-oncology; MIR=medical information request; NAD=National Account Director; NOAD=National Oncology Account Director; OAS=Oncology Account Specialist; OBM=Oncology Business Manager; RAD=Regional Account Director.</w:t>
      </w:r>
    </w:p>
    <w:p w14:paraId="1BEC8F45" w14:textId="6CFB8EA3" w:rsidR="00791682" w:rsidRPr="006D5A84" w:rsidRDefault="002F71EF" w:rsidP="00A63F11">
      <w:pPr>
        <w:ind w:left="-432"/>
        <w:jc w:val="both"/>
        <w:rPr>
          <w:b/>
          <w:bCs/>
          <w:sz w:val="28"/>
          <w:szCs w:val="28"/>
        </w:rPr>
      </w:pPr>
      <w:r>
        <w:rPr>
          <w:b/>
          <w:bCs/>
        </w:rPr>
        <w:br w:type="page"/>
      </w:r>
      <w:r w:rsidR="00791682" w:rsidRPr="006D5A84">
        <w:rPr>
          <w:color w:val="AC172D"/>
          <w:sz w:val="28"/>
          <w:szCs w:val="28"/>
        </w:rPr>
        <w:lastRenderedPageBreak/>
        <w:t xml:space="preserve">IMFINZI® (durvalumab) + </w:t>
      </w:r>
      <w:r w:rsidR="001B646C" w:rsidRPr="006D5A84">
        <w:rPr>
          <w:color w:val="AC172D"/>
          <w:sz w:val="28"/>
          <w:szCs w:val="28"/>
        </w:rPr>
        <w:t xml:space="preserve">NEOADJUVANT </w:t>
      </w:r>
      <w:r w:rsidR="00791682" w:rsidRPr="006D5A84">
        <w:rPr>
          <w:color w:val="AC172D"/>
          <w:sz w:val="28"/>
          <w:szCs w:val="28"/>
        </w:rPr>
        <w:t>C</w:t>
      </w:r>
      <w:r w:rsidR="001B646C" w:rsidRPr="006D5A84">
        <w:rPr>
          <w:color w:val="AC172D"/>
          <w:sz w:val="28"/>
          <w:szCs w:val="28"/>
        </w:rPr>
        <w:t>HEMOTHERAPY</w:t>
      </w:r>
      <w:r w:rsidR="00791682" w:rsidRPr="006D5A84">
        <w:rPr>
          <w:color w:val="AC172D"/>
          <w:sz w:val="28"/>
          <w:szCs w:val="28"/>
        </w:rPr>
        <w:t xml:space="preserve"> </w:t>
      </w:r>
      <w:r w:rsidR="003A6EE8">
        <w:rPr>
          <w:color w:val="AC172D"/>
          <w:sz w:val="28"/>
          <w:szCs w:val="28"/>
        </w:rPr>
        <w:t xml:space="preserve">FOLLOWED BY ADJUVANT IMFINZI </w:t>
      </w:r>
      <w:r w:rsidR="00791682" w:rsidRPr="006D5A84">
        <w:rPr>
          <w:color w:val="AC172D"/>
          <w:sz w:val="28"/>
          <w:szCs w:val="28"/>
        </w:rPr>
        <w:t xml:space="preserve">SAMPLE ORDER SET FOR RESECTABLE </w:t>
      </w:r>
      <w:r w:rsidR="006D5A84" w:rsidRPr="006D5A84">
        <w:rPr>
          <w:color w:val="AC172D"/>
          <w:sz w:val="28"/>
          <w:szCs w:val="28"/>
        </w:rPr>
        <w:t>(</w:t>
      </w:r>
      <w:r w:rsidR="002A6924" w:rsidRPr="006D5A84">
        <w:rPr>
          <w:color w:val="AC172D"/>
          <w:sz w:val="28"/>
          <w:szCs w:val="28"/>
        </w:rPr>
        <w:t xml:space="preserve">TUMORS ≥4 CM </w:t>
      </w:r>
      <w:r w:rsidR="00B67207">
        <w:rPr>
          <w:color w:val="AC172D"/>
          <w:sz w:val="28"/>
          <w:szCs w:val="28"/>
        </w:rPr>
        <w:t>AND/</w:t>
      </w:r>
      <w:r w:rsidR="002A6924" w:rsidRPr="006D5A84">
        <w:rPr>
          <w:color w:val="AC172D"/>
          <w:sz w:val="28"/>
          <w:szCs w:val="28"/>
        </w:rPr>
        <w:t>OR NODE POSITIVE</w:t>
      </w:r>
      <w:r w:rsidR="006D5A84" w:rsidRPr="006D5A84">
        <w:rPr>
          <w:color w:val="AC172D"/>
          <w:sz w:val="28"/>
          <w:szCs w:val="28"/>
        </w:rPr>
        <w:t>)</w:t>
      </w:r>
      <w:r w:rsidR="006D5A84" w:rsidRPr="006D5A84">
        <w:rPr>
          <w:rFonts w:cstheme="minorHAnsi"/>
          <w:sz w:val="28"/>
          <w:szCs w:val="28"/>
        </w:rPr>
        <w:t xml:space="preserve"> </w:t>
      </w:r>
      <w:r w:rsidR="00791682" w:rsidRPr="006D5A84">
        <w:rPr>
          <w:color w:val="AC172D"/>
          <w:sz w:val="28"/>
          <w:szCs w:val="28"/>
        </w:rPr>
        <w:t>NON-SMALL CELL LUNG CANCER</w:t>
      </w:r>
    </w:p>
    <w:p w14:paraId="17F7EC7B" w14:textId="3828686D" w:rsidR="00791682" w:rsidRDefault="00791682" w:rsidP="005F25B2">
      <w:pPr>
        <w:ind w:left="-432"/>
        <w:contextualSpacing/>
        <w:rPr>
          <w:color w:val="AC172D"/>
          <w:sz w:val="32"/>
          <w:szCs w:val="32"/>
        </w:rPr>
      </w:pPr>
      <w:r>
        <w:rPr>
          <w:color w:val="AC172D"/>
          <w:sz w:val="32"/>
          <w:szCs w:val="32"/>
        </w:rPr>
        <w:t>__________________________________________________________</w:t>
      </w:r>
      <w:r w:rsidR="007B6F11">
        <w:rPr>
          <w:color w:val="AC172D"/>
          <w:sz w:val="32"/>
          <w:szCs w:val="32"/>
        </w:rPr>
        <w:t>___</w:t>
      </w:r>
    </w:p>
    <w:p w14:paraId="0C8FF9CC" w14:textId="274838DA" w:rsidR="00791682" w:rsidRPr="00791682" w:rsidRDefault="00791682" w:rsidP="005671DF">
      <w:pPr>
        <w:autoSpaceDE w:val="0"/>
        <w:autoSpaceDN w:val="0"/>
        <w:adjustRightInd w:val="0"/>
        <w:ind w:left="-450"/>
        <w:jc w:val="both"/>
        <w:rPr>
          <w:rFonts w:cstheme="minorHAnsi"/>
          <w:color w:val="000000"/>
          <w:kern w:val="0"/>
          <w:sz w:val="22"/>
          <w:szCs w:val="22"/>
        </w:rPr>
      </w:pPr>
      <w:r w:rsidRPr="00791682">
        <w:rPr>
          <w:rFonts w:cstheme="minorHAnsi"/>
          <w:color w:val="000000"/>
          <w:kern w:val="0"/>
          <w:sz w:val="22"/>
          <w:szCs w:val="22"/>
        </w:rPr>
        <w:t xml:space="preserve">This document is an example of an order set for the implementation of IMFINZI </w:t>
      </w:r>
      <w:r w:rsidR="00D5541E" w:rsidRPr="00D5541E">
        <w:rPr>
          <w:rFonts w:cstheme="minorHAnsi"/>
          <w:sz w:val="22"/>
          <w:szCs w:val="22"/>
        </w:rPr>
        <w:t>in combination with platinum-containing chemotherapy as neoadjuvant treatment, followed by IMFINZI continued as a single agent as adjuvant treatment after surgery</w:t>
      </w:r>
      <w:r w:rsidRPr="00791682">
        <w:rPr>
          <w:rFonts w:cstheme="minorHAnsi"/>
          <w:sz w:val="22"/>
          <w:szCs w:val="22"/>
        </w:rPr>
        <w:t>,</w:t>
      </w:r>
      <w:r w:rsidR="009E5962">
        <w:rPr>
          <w:rFonts w:cstheme="minorHAnsi"/>
          <w:sz w:val="22"/>
          <w:szCs w:val="22"/>
        </w:rPr>
        <w:t xml:space="preserve"> </w:t>
      </w:r>
      <w:r w:rsidRPr="00791682">
        <w:rPr>
          <w:rFonts w:cstheme="minorHAnsi"/>
          <w:sz w:val="22"/>
          <w:szCs w:val="22"/>
        </w:rPr>
        <w:t>in adult patients with resectable (tumors ≥4</w:t>
      </w:r>
      <w:r w:rsidR="00CA0611">
        <w:rPr>
          <w:rFonts w:cstheme="minorHAnsi"/>
          <w:sz w:val="22"/>
          <w:szCs w:val="22"/>
        </w:rPr>
        <w:t xml:space="preserve"> </w:t>
      </w:r>
      <w:r w:rsidRPr="00791682">
        <w:rPr>
          <w:rFonts w:cstheme="minorHAnsi"/>
          <w:sz w:val="22"/>
          <w:szCs w:val="22"/>
        </w:rPr>
        <w:t>cm</w:t>
      </w:r>
      <w:r w:rsidR="009366D1">
        <w:rPr>
          <w:rFonts w:cstheme="minorHAnsi"/>
          <w:sz w:val="22"/>
          <w:szCs w:val="22"/>
        </w:rPr>
        <w:t xml:space="preserve"> </w:t>
      </w:r>
      <w:r w:rsidR="00710A9B">
        <w:rPr>
          <w:rFonts w:cstheme="minorHAnsi"/>
          <w:sz w:val="22"/>
          <w:szCs w:val="22"/>
        </w:rPr>
        <w:t>and/</w:t>
      </w:r>
      <w:r w:rsidRPr="00791682">
        <w:rPr>
          <w:rFonts w:cstheme="minorHAnsi"/>
          <w:sz w:val="22"/>
          <w:szCs w:val="22"/>
        </w:rPr>
        <w:t xml:space="preserve">or node positive) NSCLC and no known epidermal growth factor receptor (EGFR) mutations or anaplastic lymphoma kinase (ALK) rearrangements </w:t>
      </w:r>
      <w:r w:rsidRPr="00791682">
        <w:rPr>
          <w:rFonts w:cstheme="minorHAnsi"/>
          <w:color w:val="000000"/>
          <w:kern w:val="0"/>
          <w:sz w:val="22"/>
          <w:szCs w:val="22"/>
        </w:rPr>
        <w:t>into electronic medical record (EMR) systems.</w:t>
      </w:r>
      <w:r w:rsidR="00C11994">
        <w:rPr>
          <w:rFonts w:cstheme="minorHAnsi"/>
          <w:color w:val="000000"/>
          <w:kern w:val="0"/>
          <w:sz w:val="22"/>
          <w:szCs w:val="22"/>
          <w:vertAlign w:val="superscript"/>
        </w:rPr>
        <w:t>1</w:t>
      </w:r>
      <w:r w:rsidRPr="00791682">
        <w:rPr>
          <w:rFonts w:cstheme="minorHAnsi"/>
          <w:color w:val="000000"/>
          <w:kern w:val="0"/>
          <w:sz w:val="22"/>
          <w:szCs w:val="22"/>
        </w:rPr>
        <w:t xml:space="preserve"> Please modify as needed to meet institutional standards. </w:t>
      </w:r>
    </w:p>
    <w:p w14:paraId="1A064696" w14:textId="77777777" w:rsidR="00791682" w:rsidRDefault="00791682" w:rsidP="00A63F11">
      <w:pPr>
        <w:ind w:left="-432"/>
        <w:jc w:val="both"/>
        <w:rPr>
          <w:rFonts w:ascii="Calibri" w:hAnsi="Calibri" w:cs="Calibri"/>
          <w:b/>
          <w:bCs/>
          <w:color w:val="000000"/>
          <w:kern w:val="0"/>
          <w:sz w:val="20"/>
          <w:szCs w:val="20"/>
        </w:rPr>
      </w:pPr>
    </w:p>
    <w:p w14:paraId="25458082" w14:textId="7D443A23" w:rsidR="004D3ABF" w:rsidRDefault="00791682" w:rsidP="00B82E5A">
      <w:pPr>
        <w:ind w:left="-432"/>
        <w:jc w:val="both"/>
        <w:rPr>
          <w:rFonts w:cstheme="minorHAnsi"/>
          <w:b/>
          <w:bCs/>
          <w:color w:val="000000" w:themeColor="text1"/>
          <w:kern w:val="0"/>
        </w:rPr>
      </w:pPr>
      <w:r w:rsidRPr="00791682">
        <w:rPr>
          <w:rFonts w:cstheme="minorHAnsi"/>
          <w:b/>
          <w:bCs/>
          <w:color w:val="000000"/>
          <w:kern w:val="0"/>
        </w:rPr>
        <w:t xml:space="preserve">Please see </w:t>
      </w:r>
      <w:r w:rsidR="005F25B2">
        <w:rPr>
          <w:rFonts w:cstheme="minorHAnsi"/>
          <w:b/>
          <w:bCs/>
          <w:color w:val="000000"/>
          <w:kern w:val="0"/>
        </w:rPr>
        <w:t xml:space="preserve">additional </w:t>
      </w:r>
      <w:r w:rsidRPr="00791682">
        <w:rPr>
          <w:rFonts w:cstheme="minorHAnsi"/>
          <w:b/>
          <w:bCs/>
          <w:color w:val="000000"/>
          <w:kern w:val="0"/>
        </w:rPr>
        <w:t>Important Safety Information</w:t>
      </w:r>
      <w:r w:rsidR="005F25B2">
        <w:rPr>
          <w:rFonts w:cstheme="minorHAnsi"/>
          <w:b/>
          <w:bCs/>
          <w:color w:val="000000"/>
          <w:kern w:val="0"/>
        </w:rPr>
        <w:t xml:space="preserve"> on pages </w:t>
      </w:r>
      <w:r w:rsidR="00526788">
        <w:rPr>
          <w:rFonts w:cstheme="minorHAnsi"/>
          <w:b/>
          <w:bCs/>
          <w:kern w:val="0"/>
        </w:rPr>
        <w:t>6</w:t>
      </w:r>
      <w:r w:rsidR="005F25B2">
        <w:rPr>
          <w:rFonts w:cstheme="minorHAnsi"/>
          <w:b/>
          <w:bCs/>
          <w:color w:val="000000"/>
          <w:kern w:val="0"/>
        </w:rPr>
        <w:t>-</w:t>
      </w:r>
      <w:r w:rsidR="00526788" w:rsidRPr="00526788">
        <w:rPr>
          <w:rFonts w:cstheme="minorHAnsi"/>
          <w:b/>
          <w:bCs/>
          <w:kern w:val="0"/>
        </w:rPr>
        <w:t>10</w:t>
      </w:r>
      <w:r w:rsidRPr="00791682">
        <w:rPr>
          <w:rFonts w:cstheme="minorHAnsi"/>
          <w:b/>
          <w:bCs/>
          <w:color w:val="000000"/>
          <w:kern w:val="0"/>
        </w:rPr>
        <w:t xml:space="preserve"> and complete Prescribing Information, including Medication Guide, for </w:t>
      </w:r>
      <w:hyperlink r:id="rId9" w:history="1">
        <w:r w:rsidRPr="00B86A0C">
          <w:rPr>
            <w:rStyle w:val="Hyperlink"/>
            <w:rFonts w:cstheme="minorHAnsi"/>
            <w:b/>
            <w:bCs/>
            <w:kern w:val="0"/>
          </w:rPr>
          <w:t>IMFINZI</w:t>
        </w:r>
      </w:hyperlink>
      <w:r w:rsidRPr="00791682">
        <w:rPr>
          <w:rFonts w:cstheme="minorHAnsi"/>
          <w:b/>
          <w:bCs/>
          <w:color w:val="000000" w:themeColor="text1"/>
          <w:kern w:val="0"/>
        </w:rPr>
        <w:t>.</w:t>
      </w:r>
    </w:p>
    <w:p w14:paraId="7C244CD5" w14:textId="77777777" w:rsidR="005671DF" w:rsidRPr="00B82E5A" w:rsidRDefault="005671DF" w:rsidP="00B82E5A">
      <w:pPr>
        <w:ind w:left="-432"/>
        <w:jc w:val="both"/>
        <w:rPr>
          <w:rFonts w:cstheme="minorHAnsi"/>
          <w:color w:val="AC172D"/>
        </w:rPr>
      </w:pPr>
    </w:p>
    <w:p w14:paraId="3D96A9FC" w14:textId="310D0305" w:rsidR="00AF71D4" w:rsidRPr="00A7082D" w:rsidRDefault="00186710" w:rsidP="005F25B2">
      <w:pPr>
        <w:ind w:left="-432"/>
        <w:rPr>
          <w:rFonts w:cstheme="minorHAnsi"/>
          <w:b/>
          <w:bCs/>
          <w:color w:val="000000"/>
          <w:kern w:val="0"/>
        </w:rPr>
      </w:pPr>
      <w:r>
        <w:rPr>
          <w:noProof/>
          <w:sz w:val="20"/>
          <w:szCs w:val="20"/>
        </w:rPr>
        <mc:AlternateContent>
          <mc:Choice Requires="wps">
            <w:drawing>
              <wp:anchor distT="0" distB="0" distL="114300" distR="114300" simplePos="0" relativeHeight="251659264" behindDoc="0" locked="0" layoutInCell="1" allowOverlap="1" wp14:anchorId="55E85F3E" wp14:editId="547B6673">
                <wp:simplePos x="0" y="0"/>
                <wp:positionH relativeFrom="column">
                  <wp:posOffset>-304800</wp:posOffset>
                </wp:positionH>
                <wp:positionV relativeFrom="paragraph">
                  <wp:posOffset>5545455</wp:posOffset>
                </wp:positionV>
                <wp:extent cx="5991726" cy="572494"/>
                <wp:effectExtent l="0" t="0" r="3175" b="0"/>
                <wp:wrapNone/>
                <wp:docPr id="1334464097" name="Text Box 1"/>
                <wp:cNvGraphicFramePr/>
                <a:graphic xmlns:a="http://schemas.openxmlformats.org/drawingml/2006/main">
                  <a:graphicData uri="http://schemas.microsoft.com/office/word/2010/wordprocessingShape">
                    <wps:wsp>
                      <wps:cNvSpPr txBox="1"/>
                      <wps:spPr>
                        <a:xfrm>
                          <a:off x="0" y="0"/>
                          <a:ext cx="5991726" cy="572494"/>
                        </a:xfrm>
                        <a:prstGeom prst="rect">
                          <a:avLst/>
                        </a:prstGeom>
                        <a:solidFill>
                          <a:schemeClr val="lt1"/>
                        </a:solidFill>
                        <a:ln w="6350">
                          <a:noFill/>
                        </a:ln>
                      </wps:spPr>
                      <wps:txbx>
                        <w:txbxContent>
                          <w:p w14:paraId="7268E79A" w14:textId="017FC9FF" w:rsidR="00A63F11" w:rsidRDefault="00F24671" w:rsidP="00F24671">
                            <w:r w:rsidRPr="00F24671">
                              <w:rPr>
                                <w:sz w:val="20"/>
                                <w:szCs w:val="20"/>
                              </w:rPr>
                              <w:t>ALT=alanine aminotransferase; AST=aspartate aminotransferase;</w:t>
                            </w:r>
                            <w:r w:rsidR="00726E0D">
                              <w:rPr>
                                <w:sz w:val="20"/>
                                <w:szCs w:val="20"/>
                              </w:rPr>
                              <w:t xml:space="preserve"> CBC=complete blood </w:t>
                            </w:r>
                            <w:r w:rsidR="00C55DF0">
                              <w:rPr>
                                <w:sz w:val="20"/>
                                <w:szCs w:val="20"/>
                              </w:rPr>
                              <w:t>count;</w:t>
                            </w:r>
                            <w:r w:rsidRPr="00F24671">
                              <w:rPr>
                                <w:sz w:val="20"/>
                                <w:szCs w:val="20"/>
                              </w:rPr>
                              <w:t xml:space="preserve"> LFT=liver function tests; NSCLC=non-small cell lung</w:t>
                            </w:r>
                            <w:r>
                              <w:rPr>
                                <w:sz w:val="20"/>
                                <w:szCs w:val="20"/>
                              </w:rPr>
                              <w:t xml:space="preserve"> </w:t>
                            </w:r>
                            <w:r w:rsidRPr="00F24671">
                              <w:rPr>
                                <w:sz w:val="20"/>
                                <w:szCs w:val="20"/>
                              </w:rPr>
                              <w:t>cancer; Q3W=every three weeks; Q4W=every four weeks; T3=triiodothyronine; T4=thyroxine; TSH=thyroid stimulating</w:t>
                            </w:r>
                            <w:r>
                              <w:rPr>
                                <w:sz w:val="20"/>
                                <w:szCs w:val="20"/>
                              </w:rPr>
                              <w:t xml:space="preserve"> </w:t>
                            </w:r>
                            <w:r w:rsidRPr="00F24671">
                              <w:rPr>
                                <w:sz w:val="20"/>
                                <w:szCs w:val="20"/>
                              </w:rPr>
                              <w:t>hormone; ULN=upper limit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85F3E" id="_x0000_t202" coordsize="21600,21600" o:spt="202" path="m,l,21600r21600,l21600,xe">
                <v:stroke joinstyle="miter"/>
                <v:path gradientshapeok="t" o:connecttype="rect"/>
              </v:shapetype>
              <v:shape id="Text Box 1" o:spid="_x0000_s1026" type="#_x0000_t202" style="position:absolute;left:0;text-align:left;margin-left:-24pt;margin-top:436.65pt;width:471.8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" fillcolor="white [3201]" stroked="f" strokeweight=".5pt">
                <v:textbox>
                  <w:txbxContent>
                    <w:p w14:paraId="7268E79A" w14:textId="017FC9FF" w:rsidR="00A63F11" w:rsidRDefault="00F24671" w:rsidP="00F24671">
                      <w:r w:rsidRPr="00F24671">
                        <w:rPr>
                          <w:sz w:val="20"/>
                          <w:szCs w:val="20"/>
                        </w:rPr>
                        <w:t>ALT=alanine aminotransferase; AST=aspartate aminotransferase;</w:t>
                      </w:r>
                      <w:r w:rsidR="00726E0D">
                        <w:rPr>
                          <w:sz w:val="20"/>
                          <w:szCs w:val="20"/>
                        </w:rPr>
                        <w:t xml:space="preserve"> CBC=complete blood </w:t>
                      </w:r>
                      <w:r w:rsidR="00C55DF0">
                        <w:rPr>
                          <w:sz w:val="20"/>
                          <w:szCs w:val="20"/>
                        </w:rPr>
                        <w:t>count;</w:t>
                      </w:r>
                      <w:r w:rsidRPr="00F24671">
                        <w:rPr>
                          <w:sz w:val="20"/>
                          <w:szCs w:val="20"/>
                        </w:rPr>
                        <w:t xml:space="preserve"> LFT=liver function tests; NSCLC=non-small cell lung</w:t>
                      </w:r>
                      <w:r>
                        <w:rPr>
                          <w:sz w:val="20"/>
                          <w:szCs w:val="20"/>
                        </w:rPr>
                        <w:t xml:space="preserve"> </w:t>
                      </w:r>
                      <w:r w:rsidRPr="00F24671">
                        <w:rPr>
                          <w:sz w:val="20"/>
                          <w:szCs w:val="20"/>
                        </w:rPr>
                        <w:t>cancer; Q3W=every three weeks; Q4W=every four weeks; T3=triiodothyronine; T4=thyroxine; TSH=thyroid stimulating</w:t>
                      </w:r>
                      <w:r>
                        <w:rPr>
                          <w:sz w:val="20"/>
                          <w:szCs w:val="20"/>
                        </w:rPr>
                        <w:t xml:space="preserve"> </w:t>
                      </w:r>
                      <w:r w:rsidRPr="00F24671">
                        <w:rPr>
                          <w:sz w:val="20"/>
                          <w:szCs w:val="20"/>
                        </w:rPr>
                        <w:t>hormone; ULN=upper limit normal.</w:t>
                      </w:r>
                    </w:p>
                  </w:txbxContent>
                </v:textbox>
              </v:shape>
            </w:pict>
          </mc:Fallback>
        </mc:AlternateContent>
      </w:r>
      <w:r w:rsidR="00AF71D4" w:rsidRPr="00A7082D">
        <w:rPr>
          <w:rFonts w:cstheme="minorHAnsi"/>
          <w:b/>
          <w:bCs/>
          <w:color w:val="000000"/>
          <w:kern w:val="0"/>
        </w:rPr>
        <w:t xml:space="preserve">Neoadjuvant Durvalumab and Carboplatin or Cisplatin followed by </w:t>
      </w:r>
      <w:r w:rsidR="00D30040">
        <w:rPr>
          <w:rFonts w:cstheme="minorHAnsi"/>
          <w:b/>
          <w:bCs/>
          <w:color w:val="000000"/>
          <w:kern w:val="0"/>
        </w:rPr>
        <w:t>A</w:t>
      </w:r>
      <w:r w:rsidR="00AF71D4" w:rsidRPr="00A7082D">
        <w:rPr>
          <w:rFonts w:cstheme="minorHAnsi"/>
          <w:b/>
          <w:bCs/>
          <w:color w:val="000000"/>
          <w:kern w:val="0"/>
        </w:rPr>
        <w:t>djuvant Durvalumab</w:t>
      </w:r>
    </w:p>
    <w:tbl>
      <w:tblPr>
        <w:tblStyle w:val="TableGrid"/>
        <w:tblW w:w="10620" w:type="dxa"/>
        <w:tblInd w:w="-635" w:type="dxa"/>
        <w:tblLook w:val="04A0" w:firstRow="1" w:lastRow="0" w:firstColumn="1" w:lastColumn="0" w:noHBand="0" w:noVBand="1"/>
      </w:tblPr>
      <w:tblGrid>
        <w:gridCol w:w="180"/>
        <w:gridCol w:w="1674"/>
        <w:gridCol w:w="777"/>
        <w:gridCol w:w="3129"/>
        <w:gridCol w:w="4680"/>
        <w:gridCol w:w="180"/>
      </w:tblGrid>
      <w:tr w:rsidR="003F5A1B" w:rsidRPr="0012452C" w14:paraId="7C30AAC6" w14:textId="77777777" w:rsidTr="00B71D4E">
        <w:trPr>
          <w:gridBefore w:val="1"/>
          <w:gridAfter w:val="1"/>
          <w:wBefore w:w="180" w:type="dxa"/>
          <w:wAfter w:w="180" w:type="dxa"/>
          <w:trHeight w:val="449"/>
        </w:trPr>
        <w:tc>
          <w:tcPr>
            <w:tcW w:w="10260" w:type="dxa"/>
            <w:gridSpan w:val="4"/>
            <w:shd w:val="clear" w:color="auto" w:fill="BFBFBF" w:themeFill="background1" w:themeFillShade="BF"/>
          </w:tcPr>
          <w:p w14:paraId="4D16BBD5" w14:textId="449DC0D4" w:rsidR="003F5A1B" w:rsidRPr="005F25B2" w:rsidRDefault="003F5A1B" w:rsidP="003F5A1B">
            <w:pPr>
              <w:rPr>
                <w:rFonts w:cstheme="minorHAnsi"/>
                <w:b/>
                <w:bCs/>
                <w:sz w:val="20"/>
                <w:szCs w:val="20"/>
              </w:rPr>
            </w:pPr>
            <w:r w:rsidRPr="00A63F11">
              <w:rPr>
                <w:rFonts w:cstheme="minorHAnsi"/>
                <w:b/>
                <w:bCs/>
              </w:rPr>
              <w:t>Laboratory Studies</w:t>
            </w:r>
            <w:r w:rsidR="007035F3" w:rsidRPr="00A63F11">
              <w:rPr>
                <w:rFonts w:cstheme="minorHAnsi"/>
                <w:b/>
                <w:bCs/>
                <w:vertAlign w:val="superscript"/>
              </w:rPr>
              <w:t>1,2</w:t>
            </w:r>
            <w:r w:rsidR="006A1AFE" w:rsidRPr="00A63F11">
              <w:rPr>
                <w:rFonts w:cstheme="minorHAnsi"/>
                <w:b/>
                <w:bCs/>
                <w:vertAlign w:val="superscript"/>
              </w:rPr>
              <w:t xml:space="preserve"> </w:t>
            </w:r>
            <w:r w:rsidR="00A63F11">
              <w:rPr>
                <w:rFonts w:cstheme="minorHAnsi"/>
                <w:b/>
                <w:bCs/>
                <w:sz w:val="20"/>
                <w:szCs w:val="20"/>
                <w:vertAlign w:val="superscript"/>
              </w:rPr>
              <w:br/>
            </w:r>
            <w:r w:rsidR="005F25B2" w:rsidRPr="005F25B2">
              <w:rPr>
                <w:rFonts w:cstheme="minorHAnsi"/>
                <w:sz w:val="20"/>
                <w:szCs w:val="20"/>
              </w:rPr>
              <w:t>(Please use medical judgment on which labs to select based on the following information.)</w:t>
            </w:r>
          </w:p>
        </w:tc>
      </w:tr>
      <w:tr w:rsidR="00CA361C" w:rsidRPr="0012452C" w14:paraId="46D08C50" w14:textId="77777777" w:rsidTr="00B71D4E">
        <w:trPr>
          <w:gridBefore w:val="1"/>
          <w:gridAfter w:val="1"/>
          <w:wBefore w:w="180" w:type="dxa"/>
          <w:wAfter w:w="180" w:type="dxa"/>
          <w:trHeight w:val="260"/>
        </w:trPr>
        <w:tc>
          <w:tcPr>
            <w:tcW w:w="1674" w:type="dxa"/>
          </w:tcPr>
          <w:p w14:paraId="0526B3CA" w14:textId="4DC53868" w:rsidR="00CA361C" w:rsidRPr="00BF409E" w:rsidRDefault="00CA361C" w:rsidP="00CA361C">
            <w:pPr>
              <w:jc w:val="center"/>
              <w:rPr>
                <w:rFonts w:cstheme="minorHAnsi"/>
                <w:b/>
                <w:bCs/>
                <w:color w:val="000000" w:themeColor="text1"/>
                <w:sz w:val="20"/>
                <w:szCs w:val="20"/>
              </w:rPr>
            </w:pPr>
            <w:r w:rsidRPr="00BF409E">
              <w:rPr>
                <w:rFonts w:cstheme="minorHAnsi"/>
                <w:b/>
                <w:bCs/>
                <w:color w:val="000000" w:themeColor="text1"/>
                <w:sz w:val="20"/>
                <w:szCs w:val="20"/>
              </w:rPr>
              <w:t>Study</w:t>
            </w:r>
          </w:p>
        </w:tc>
        <w:tc>
          <w:tcPr>
            <w:tcW w:w="3906" w:type="dxa"/>
            <w:gridSpan w:val="2"/>
          </w:tcPr>
          <w:p w14:paraId="38CC016F" w14:textId="471CA600" w:rsidR="00CA361C" w:rsidRPr="00BF409E" w:rsidRDefault="00CA361C" w:rsidP="00CA361C">
            <w:pPr>
              <w:autoSpaceDE w:val="0"/>
              <w:autoSpaceDN w:val="0"/>
              <w:adjustRightInd w:val="0"/>
              <w:jc w:val="center"/>
              <w:rPr>
                <w:rFonts w:cstheme="minorHAnsi"/>
                <w:b/>
                <w:bCs/>
                <w:color w:val="000000"/>
                <w:kern w:val="0"/>
                <w:sz w:val="20"/>
                <w:szCs w:val="20"/>
              </w:rPr>
            </w:pPr>
            <w:r w:rsidRPr="00BF409E">
              <w:rPr>
                <w:rFonts w:cstheme="minorHAnsi"/>
                <w:b/>
                <w:bCs/>
                <w:color w:val="000000"/>
                <w:kern w:val="0"/>
                <w:sz w:val="20"/>
                <w:szCs w:val="20"/>
              </w:rPr>
              <w:t>Frequency</w:t>
            </w:r>
          </w:p>
        </w:tc>
        <w:tc>
          <w:tcPr>
            <w:tcW w:w="4680" w:type="dxa"/>
          </w:tcPr>
          <w:p w14:paraId="055FC9E2" w14:textId="2211D137" w:rsidR="00CA361C" w:rsidRPr="00BF409E" w:rsidRDefault="00CA361C" w:rsidP="00CA361C">
            <w:pPr>
              <w:jc w:val="center"/>
              <w:rPr>
                <w:rFonts w:cstheme="minorHAnsi"/>
                <w:b/>
                <w:bCs/>
                <w:kern w:val="0"/>
                <w:sz w:val="20"/>
                <w:szCs w:val="20"/>
              </w:rPr>
            </w:pPr>
            <w:r w:rsidRPr="00BF409E">
              <w:rPr>
                <w:rFonts w:cstheme="minorHAnsi"/>
                <w:b/>
                <w:bCs/>
                <w:kern w:val="0"/>
                <w:sz w:val="20"/>
                <w:szCs w:val="20"/>
              </w:rPr>
              <w:t>Comment/Parameters</w:t>
            </w:r>
          </w:p>
        </w:tc>
      </w:tr>
      <w:tr w:rsidR="003F5A1B" w:rsidRPr="0012452C" w14:paraId="3C72D7CB" w14:textId="77777777" w:rsidTr="00B71D4E">
        <w:trPr>
          <w:gridBefore w:val="1"/>
          <w:gridAfter w:val="1"/>
          <w:wBefore w:w="180" w:type="dxa"/>
          <w:wAfter w:w="180" w:type="dxa"/>
          <w:trHeight w:val="1125"/>
        </w:trPr>
        <w:tc>
          <w:tcPr>
            <w:tcW w:w="1674" w:type="dxa"/>
          </w:tcPr>
          <w:p w14:paraId="72146A4F" w14:textId="7F691D10" w:rsidR="003F5A1B" w:rsidRPr="00BF409E" w:rsidRDefault="007E04D1" w:rsidP="00DD22CA">
            <w:pPr>
              <w:rPr>
                <w:rFonts w:cstheme="minorHAnsi"/>
                <w:color w:val="000000" w:themeColor="text1"/>
                <w:sz w:val="20"/>
                <w:szCs w:val="20"/>
              </w:rPr>
            </w:pPr>
            <w:r>
              <w:rPr>
                <w:rFonts w:cstheme="minorHAnsi"/>
                <w:b/>
                <w:bCs/>
                <w:color w:val="000000" w:themeColor="text1"/>
                <w:sz w:val="20"/>
                <w:szCs w:val="20"/>
              </w:rPr>
              <w:t>CBC with differential</w:t>
            </w:r>
          </w:p>
        </w:tc>
        <w:tc>
          <w:tcPr>
            <w:tcW w:w="3906" w:type="dxa"/>
            <w:gridSpan w:val="2"/>
          </w:tcPr>
          <w:p w14:paraId="158BFF7A" w14:textId="7C87222E" w:rsidR="00335B0E" w:rsidRPr="00BF409E" w:rsidRDefault="003D55A6" w:rsidP="003D55A6">
            <w:pPr>
              <w:autoSpaceDE w:val="0"/>
              <w:autoSpaceDN w:val="0"/>
              <w:adjustRightInd w:val="0"/>
              <w:rPr>
                <w:rFonts w:cstheme="minorHAnsi"/>
                <w:kern w:val="0"/>
                <w:sz w:val="20"/>
                <w:szCs w:val="20"/>
              </w:rPr>
            </w:pPr>
            <w:r w:rsidRPr="00BF409E">
              <w:rPr>
                <w:rFonts w:cstheme="minorHAnsi"/>
                <w:kern w:val="0"/>
                <w:sz w:val="20"/>
                <w:szCs w:val="20"/>
              </w:rPr>
              <w:t>Baseline,</w:t>
            </w:r>
            <w:r w:rsidR="006A1AFE">
              <w:rPr>
                <w:rFonts w:cstheme="minorHAnsi"/>
                <w:kern w:val="0"/>
                <w:sz w:val="20"/>
                <w:szCs w:val="20"/>
              </w:rPr>
              <w:t xml:space="preserve"> Q3W</w:t>
            </w:r>
            <w:r w:rsidRPr="00BF409E">
              <w:rPr>
                <w:rFonts w:cstheme="minorHAnsi"/>
                <w:kern w:val="0"/>
                <w:sz w:val="20"/>
                <w:szCs w:val="20"/>
              </w:rPr>
              <w:t xml:space="preserve">, then within 30 days before surgery. Post-surgery, </w:t>
            </w:r>
            <w:r w:rsidR="006A1AFE">
              <w:rPr>
                <w:rFonts w:cstheme="minorHAnsi"/>
                <w:kern w:val="0"/>
                <w:sz w:val="20"/>
                <w:szCs w:val="20"/>
              </w:rPr>
              <w:t>Q4W</w:t>
            </w:r>
            <w:r w:rsidRPr="00BF409E">
              <w:rPr>
                <w:rFonts w:cstheme="minorHAnsi"/>
                <w:kern w:val="0"/>
                <w:sz w:val="20"/>
                <w:szCs w:val="20"/>
              </w:rPr>
              <w:t>.</w:t>
            </w:r>
          </w:p>
          <w:p w14:paraId="7DC107F2" w14:textId="77777777" w:rsidR="000354F1" w:rsidRPr="00BF409E" w:rsidRDefault="000354F1" w:rsidP="003D55A6">
            <w:pPr>
              <w:autoSpaceDE w:val="0"/>
              <w:autoSpaceDN w:val="0"/>
              <w:adjustRightInd w:val="0"/>
              <w:rPr>
                <w:rFonts w:cstheme="minorHAnsi"/>
                <w:kern w:val="0"/>
                <w:sz w:val="20"/>
                <w:szCs w:val="20"/>
              </w:rPr>
            </w:pPr>
          </w:p>
          <w:p w14:paraId="143F469F" w14:textId="79AFAB25" w:rsidR="000354F1" w:rsidRPr="00BF409E" w:rsidRDefault="000354F1" w:rsidP="003D55A6">
            <w:pPr>
              <w:autoSpaceDE w:val="0"/>
              <w:autoSpaceDN w:val="0"/>
              <w:adjustRightInd w:val="0"/>
              <w:rPr>
                <w:rFonts w:cstheme="minorHAnsi"/>
                <w:kern w:val="0"/>
                <w:sz w:val="20"/>
                <w:szCs w:val="20"/>
              </w:rPr>
            </w:pPr>
            <w:r w:rsidRPr="00BF409E">
              <w:rPr>
                <w:rFonts w:cstheme="minorHAnsi"/>
                <w:kern w:val="0"/>
                <w:sz w:val="20"/>
                <w:szCs w:val="20"/>
              </w:rPr>
              <w:t>Hematology assessments may be performed more frequently if clinically indicated.</w:t>
            </w:r>
          </w:p>
        </w:tc>
        <w:tc>
          <w:tcPr>
            <w:tcW w:w="4680" w:type="dxa"/>
          </w:tcPr>
          <w:p w14:paraId="5A850738" w14:textId="57521EE6" w:rsidR="003F5A1B" w:rsidRPr="00BF409E" w:rsidRDefault="003F5A1B" w:rsidP="003F5A1B">
            <w:pPr>
              <w:rPr>
                <w:rFonts w:cstheme="minorHAnsi"/>
                <w:kern w:val="0"/>
                <w:sz w:val="20"/>
                <w:szCs w:val="20"/>
              </w:rPr>
            </w:pPr>
          </w:p>
        </w:tc>
      </w:tr>
      <w:tr w:rsidR="003F5A1B" w:rsidRPr="0012452C" w14:paraId="5AE08406" w14:textId="77777777" w:rsidTr="00B71D4E">
        <w:trPr>
          <w:gridBefore w:val="1"/>
          <w:gridAfter w:val="1"/>
          <w:wBefore w:w="180" w:type="dxa"/>
          <w:wAfter w:w="180" w:type="dxa"/>
          <w:trHeight w:val="1219"/>
        </w:trPr>
        <w:tc>
          <w:tcPr>
            <w:tcW w:w="1674" w:type="dxa"/>
          </w:tcPr>
          <w:p w14:paraId="1CCD6888" w14:textId="3999B761" w:rsidR="003F5A1B" w:rsidRPr="00BF409E" w:rsidRDefault="00DD22CA" w:rsidP="003F5A1B">
            <w:pPr>
              <w:rPr>
                <w:rFonts w:cstheme="minorHAnsi"/>
                <w:b/>
                <w:bCs/>
                <w:color w:val="000000" w:themeColor="text1"/>
                <w:sz w:val="20"/>
                <w:szCs w:val="20"/>
              </w:rPr>
            </w:pPr>
            <w:r w:rsidRPr="00BF409E">
              <w:rPr>
                <w:rFonts w:cstheme="minorHAnsi"/>
                <w:b/>
                <w:bCs/>
                <w:color w:val="000000" w:themeColor="text1"/>
                <w:sz w:val="20"/>
                <w:szCs w:val="20"/>
              </w:rPr>
              <w:t>Clinical chemistry</w:t>
            </w:r>
          </w:p>
        </w:tc>
        <w:tc>
          <w:tcPr>
            <w:tcW w:w="3906" w:type="dxa"/>
            <w:gridSpan w:val="2"/>
          </w:tcPr>
          <w:p w14:paraId="44B46938" w14:textId="669529E2" w:rsidR="00335B0E" w:rsidRPr="00BF409E" w:rsidRDefault="003D55A6" w:rsidP="003D55A6">
            <w:pPr>
              <w:autoSpaceDE w:val="0"/>
              <w:autoSpaceDN w:val="0"/>
              <w:adjustRightInd w:val="0"/>
              <w:rPr>
                <w:rFonts w:cstheme="minorHAnsi"/>
                <w:kern w:val="0"/>
                <w:sz w:val="20"/>
                <w:szCs w:val="20"/>
              </w:rPr>
            </w:pPr>
            <w:r w:rsidRPr="00BF409E">
              <w:rPr>
                <w:rFonts w:cstheme="minorHAnsi"/>
                <w:kern w:val="0"/>
                <w:sz w:val="20"/>
                <w:szCs w:val="20"/>
              </w:rPr>
              <w:t xml:space="preserve">Baseline, </w:t>
            </w:r>
            <w:r w:rsidR="006A1AFE">
              <w:rPr>
                <w:rFonts w:cstheme="minorHAnsi"/>
                <w:kern w:val="0"/>
                <w:sz w:val="20"/>
                <w:szCs w:val="20"/>
              </w:rPr>
              <w:t>Q3W</w:t>
            </w:r>
            <w:r w:rsidRPr="00BF409E">
              <w:rPr>
                <w:rFonts w:cstheme="minorHAnsi"/>
                <w:kern w:val="0"/>
                <w:sz w:val="20"/>
                <w:szCs w:val="20"/>
              </w:rPr>
              <w:t xml:space="preserve">, then within 30 days before surgery. Post-surgery, </w:t>
            </w:r>
            <w:r w:rsidR="006A1AFE">
              <w:rPr>
                <w:rFonts w:cstheme="minorHAnsi"/>
                <w:kern w:val="0"/>
                <w:sz w:val="20"/>
                <w:szCs w:val="20"/>
              </w:rPr>
              <w:t>Q4W.</w:t>
            </w:r>
          </w:p>
          <w:p w14:paraId="12813B61" w14:textId="77777777" w:rsidR="000354F1" w:rsidRPr="00BF409E" w:rsidRDefault="000354F1" w:rsidP="003D55A6">
            <w:pPr>
              <w:autoSpaceDE w:val="0"/>
              <w:autoSpaceDN w:val="0"/>
              <w:adjustRightInd w:val="0"/>
              <w:rPr>
                <w:rFonts w:cstheme="minorHAnsi"/>
                <w:kern w:val="0"/>
                <w:sz w:val="20"/>
                <w:szCs w:val="20"/>
              </w:rPr>
            </w:pPr>
          </w:p>
          <w:p w14:paraId="0F2FDE75" w14:textId="63459F2E" w:rsidR="000354F1" w:rsidRPr="00BF409E" w:rsidRDefault="000354F1" w:rsidP="003D55A6">
            <w:pPr>
              <w:autoSpaceDE w:val="0"/>
              <w:autoSpaceDN w:val="0"/>
              <w:adjustRightInd w:val="0"/>
              <w:rPr>
                <w:rFonts w:cstheme="minorHAnsi"/>
                <w:kern w:val="0"/>
                <w:sz w:val="20"/>
                <w:szCs w:val="20"/>
              </w:rPr>
            </w:pPr>
            <w:r w:rsidRPr="00BF409E">
              <w:rPr>
                <w:rFonts w:cstheme="minorHAnsi"/>
                <w:color w:val="000000" w:themeColor="text1"/>
                <w:sz w:val="20"/>
                <w:szCs w:val="20"/>
              </w:rPr>
              <w:t xml:space="preserve">Serum or plasma clinical chemistry assessments </w:t>
            </w:r>
            <w:r w:rsidRPr="00BF409E">
              <w:rPr>
                <w:rFonts w:cstheme="minorHAnsi"/>
                <w:kern w:val="0"/>
                <w:sz w:val="20"/>
                <w:szCs w:val="20"/>
              </w:rPr>
              <w:t>may be performed more frequently if clinically indicated</w:t>
            </w:r>
            <w:r w:rsidRPr="00BF409E">
              <w:rPr>
                <w:rFonts w:cstheme="minorHAnsi"/>
                <w:color w:val="000000" w:themeColor="text1"/>
                <w:sz w:val="20"/>
                <w:szCs w:val="20"/>
              </w:rPr>
              <w:t>.</w:t>
            </w:r>
          </w:p>
        </w:tc>
        <w:tc>
          <w:tcPr>
            <w:tcW w:w="4680" w:type="dxa"/>
          </w:tcPr>
          <w:p w14:paraId="3A75F90F" w14:textId="39579A58" w:rsidR="00F84623" w:rsidRPr="00CA0611" w:rsidRDefault="002E00B6" w:rsidP="00CA0611">
            <w:pPr>
              <w:autoSpaceDE w:val="0"/>
              <w:autoSpaceDN w:val="0"/>
              <w:adjustRightInd w:val="0"/>
              <w:rPr>
                <w:rFonts w:cstheme="minorHAnsi"/>
                <w:kern w:val="0"/>
                <w:sz w:val="20"/>
                <w:szCs w:val="20"/>
              </w:rPr>
            </w:pPr>
            <w:r w:rsidRPr="002E00B6">
              <w:rPr>
                <w:rFonts w:cstheme="minorHAnsi"/>
                <w:color w:val="000000" w:themeColor="text1"/>
                <w:sz w:val="20"/>
                <w:szCs w:val="20"/>
              </w:rPr>
              <w:t xml:space="preserve">Recommended to have </w:t>
            </w:r>
            <w:r w:rsidRPr="002E00B6">
              <w:rPr>
                <w:rFonts w:cstheme="minorHAnsi"/>
                <w:kern w:val="0"/>
                <w:sz w:val="20"/>
                <w:szCs w:val="20"/>
              </w:rPr>
              <w:t xml:space="preserve">creatinine clearance </w:t>
            </w:r>
            <w:r w:rsidR="005B008B">
              <w:rPr>
                <w:rFonts w:cstheme="minorHAnsi"/>
                <w:kern w:val="0"/>
                <w:sz w:val="20"/>
                <w:szCs w:val="20"/>
              </w:rPr>
              <w:t xml:space="preserve">             </w:t>
            </w:r>
            <w:r w:rsidRPr="002E00B6">
              <w:rPr>
                <w:rFonts w:cstheme="minorHAnsi"/>
                <w:kern w:val="0"/>
                <w:sz w:val="20"/>
                <w:szCs w:val="20"/>
              </w:rPr>
              <w:t>&gt;40 mL/min or as determined by Cockcroft-Gault</w:t>
            </w:r>
            <w:r>
              <w:rPr>
                <w:rFonts w:cstheme="minorHAnsi"/>
                <w:kern w:val="0"/>
                <w:sz w:val="20"/>
                <w:szCs w:val="20"/>
              </w:rPr>
              <w:t xml:space="preserve"> equation</w:t>
            </w:r>
            <w:r w:rsidRPr="002E00B6">
              <w:rPr>
                <w:rFonts w:cstheme="minorHAnsi"/>
                <w:kern w:val="0"/>
                <w:sz w:val="20"/>
                <w:szCs w:val="20"/>
              </w:rPr>
              <w:t xml:space="preserve"> using actual body </w:t>
            </w:r>
            <w:r>
              <w:rPr>
                <w:rFonts w:cstheme="minorHAnsi"/>
                <w:kern w:val="0"/>
                <w:sz w:val="20"/>
                <w:szCs w:val="20"/>
              </w:rPr>
              <w:t>weight.</w:t>
            </w:r>
          </w:p>
        </w:tc>
      </w:tr>
      <w:tr w:rsidR="003F5A1B" w:rsidRPr="0012452C" w14:paraId="7D14FD8E" w14:textId="77777777" w:rsidTr="00B71D4E">
        <w:trPr>
          <w:gridBefore w:val="1"/>
          <w:gridAfter w:val="1"/>
          <w:wBefore w:w="180" w:type="dxa"/>
          <w:wAfter w:w="180" w:type="dxa"/>
          <w:trHeight w:val="746"/>
        </w:trPr>
        <w:tc>
          <w:tcPr>
            <w:tcW w:w="1674" w:type="dxa"/>
          </w:tcPr>
          <w:p w14:paraId="52C7AB0B" w14:textId="1AA6F33C" w:rsidR="00DD22CA" w:rsidRPr="00BF409E" w:rsidRDefault="00DD22CA" w:rsidP="00DD22CA">
            <w:pPr>
              <w:rPr>
                <w:rFonts w:cstheme="minorHAnsi"/>
                <w:b/>
                <w:bCs/>
                <w:color w:val="000000" w:themeColor="text1"/>
                <w:sz w:val="20"/>
                <w:szCs w:val="20"/>
              </w:rPr>
            </w:pPr>
            <w:r w:rsidRPr="00BF409E">
              <w:rPr>
                <w:rFonts w:cstheme="minorHAnsi"/>
                <w:b/>
                <w:bCs/>
                <w:color w:val="000000" w:themeColor="text1"/>
                <w:sz w:val="20"/>
                <w:szCs w:val="20"/>
              </w:rPr>
              <w:t xml:space="preserve">Liver </w:t>
            </w:r>
            <w:r w:rsidR="004C2389">
              <w:rPr>
                <w:rFonts w:cstheme="minorHAnsi"/>
                <w:b/>
                <w:bCs/>
                <w:color w:val="000000" w:themeColor="text1"/>
                <w:sz w:val="20"/>
                <w:szCs w:val="20"/>
              </w:rPr>
              <w:t>p</w:t>
            </w:r>
            <w:r w:rsidRPr="00BF409E">
              <w:rPr>
                <w:rFonts w:cstheme="minorHAnsi"/>
                <w:b/>
                <w:bCs/>
                <w:color w:val="000000" w:themeColor="text1"/>
                <w:sz w:val="20"/>
                <w:szCs w:val="20"/>
              </w:rPr>
              <w:t>anel</w:t>
            </w:r>
          </w:p>
          <w:p w14:paraId="7235B045" w14:textId="147E29BD" w:rsidR="003F5A1B" w:rsidRPr="00BF409E" w:rsidRDefault="00DD22CA" w:rsidP="00DD22CA">
            <w:pPr>
              <w:rPr>
                <w:rFonts w:cstheme="minorHAnsi"/>
                <w:b/>
                <w:bCs/>
                <w:color w:val="000000" w:themeColor="text1"/>
                <w:sz w:val="20"/>
                <w:szCs w:val="20"/>
              </w:rPr>
            </w:pPr>
            <w:r w:rsidRPr="00BF409E">
              <w:rPr>
                <w:rFonts w:cstheme="minorHAnsi"/>
                <w:b/>
                <w:bCs/>
                <w:color w:val="000000" w:themeColor="text1"/>
                <w:sz w:val="20"/>
                <w:szCs w:val="20"/>
              </w:rPr>
              <w:t>(bilirubin</w:t>
            </w:r>
            <w:r w:rsidR="0087290B" w:rsidRPr="00BF409E">
              <w:rPr>
                <w:rFonts w:cstheme="minorHAnsi"/>
                <w:b/>
                <w:bCs/>
                <w:color w:val="000000" w:themeColor="text1"/>
                <w:sz w:val="20"/>
                <w:szCs w:val="20"/>
              </w:rPr>
              <w:t>, LFTs</w:t>
            </w:r>
            <w:r w:rsidRPr="00BF409E">
              <w:rPr>
                <w:rFonts w:cstheme="minorHAnsi"/>
                <w:b/>
                <w:bCs/>
                <w:color w:val="000000" w:themeColor="text1"/>
                <w:sz w:val="20"/>
                <w:szCs w:val="20"/>
              </w:rPr>
              <w:t>)</w:t>
            </w:r>
          </w:p>
        </w:tc>
        <w:tc>
          <w:tcPr>
            <w:tcW w:w="3906" w:type="dxa"/>
            <w:gridSpan w:val="2"/>
          </w:tcPr>
          <w:p w14:paraId="10B83BF5" w14:textId="66DE2B6C" w:rsidR="003F5A1B" w:rsidRPr="00BF409E" w:rsidRDefault="007318D0" w:rsidP="007318D0">
            <w:pPr>
              <w:autoSpaceDE w:val="0"/>
              <w:autoSpaceDN w:val="0"/>
              <w:adjustRightInd w:val="0"/>
              <w:rPr>
                <w:rFonts w:cstheme="minorHAnsi"/>
                <w:kern w:val="0"/>
                <w:sz w:val="20"/>
                <w:szCs w:val="20"/>
              </w:rPr>
            </w:pPr>
            <w:r w:rsidRPr="00BF409E">
              <w:rPr>
                <w:rFonts w:cstheme="minorHAnsi"/>
                <w:kern w:val="0"/>
                <w:sz w:val="20"/>
                <w:szCs w:val="20"/>
              </w:rPr>
              <w:t>Baseline, then as clinically</w:t>
            </w:r>
            <w:r w:rsidR="003D55A6" w:rsidRPr="00BF409E">
              <w:rPr>
                <w:rFonts w:cstheme="minorHAnsi"/>
                <w:kern w:val="0"/>
                <w:sz w:val="20"/>
                <w:szCs w:val="20"/>
              </w:rPr>
              <w:t xml:space="preserve"> </w:t>
            </w:r>
            <w:r w:rsidRPr="00BF409E">
              <w:rPr>
                <w:rFonts w:cstheme="minorHAnsi"/>
                <w:kern w:val="0"/>
                <w:sz w:val="20"/>
                <w:szCs w:val="20"/>
              </w:rPr>
              <w:t>indicated until surgery.</w:t>
            </w:r>
            <w:r w:rsidR="003D55A6" w:rsidRPr="00BF409E">
              <w:rPr>
                <w:rFonts w:cstheme="minorHAnsi"/>
                <w:kern w:val="0"/>
                <w:sz w:val="20"/>
                <w:szCs w:val="20"/>
              </w:rPr>
              <w:t xml:space="preserve"> </w:t>
            </w:r>
            <w:r w:rsidRPr="00BF409E">
              <w:rPr>
                <w:rFonts w:cstheme="minorHAnsi"/>
                <w:kern w:val="0"/>
                <w:sz w:val="20"/>
                <w:szCs w:val="20"/>
              </w:rPr>
              <w:t xml:space="preserve">Post-surgery, </w:t>
            </w:r>
            <w:r w:rsidR="005F25B2">
              <w:rPr>
                <w:rFonts w:cstheme="minorHAnsi"/>
                <w:kern w:val="0"/>
                <w:sz w:val="20"/>
                <w:szCs w:val="20"/>
              </w:rPr>
              <w:t>initial dose</w:t>
            </w:r>
            <w:r w:rsidRPr="00BF409E">
              <w:rPr>
                <w:rFonts w:cstheme="minorHAnsi"/>
                <w:kern w:val="0"/>
                <w:sz w:val="20"/>
                <w:szCs w:val="20"/>
              </w:rPr>
              <w:t xml:space="preserve">, then as clinically indicated for </w:t>
            </w:r>
            <w:r w:rsidR="005F25B2">
              <w:rPr>
                <w:rFonts w:cstheme="minorHAnsi"/>
                <w:kern w:val="0"/>
                <w:sz w:val="20"/>
                <w:szCs w:val="20"/>
              </w:rPr>
              <w:t>Q4W</w:t>
            </w:r>
            <w:r w:rsidRPr="00BF409E">
              <w:rPr>
                <w:rFonts w:cstheme="minorHAnsi"/>
                <w:kern w:val="0"/>
                <w:sz w:val="20"/>
                <w:szCs w:val="20"/>
              </w:rPr>
              <w:t>.</w:t>
            </w:r>
          </w:p>
        </w:tc>
        <w:tc>
          <w:tcPr>
            <w:tcW w:w="4680" w:type="dxa"/>
          </w:tcPr>
          <w:p w14:paraId="75E87A23" w14:textId="77777777" w:rsidR="002E00B6" w:rsidRDefault="002E00B6" w:rsidP="002E00B6">
            <w:pPr>
              <w:autoSpaceDE w:val="0"/>
              <w:autoSpaceDN w:val="0"/>
              <w:adjustRightInd w:val="0"/>
              <w:rPr>
                <w:rFonts w:cstheme="minorHAnsi"/>
                <w:kern w:val="0"/>
                <w:sz w:val="20"/>
                <w:szCs w:val="20"/>
              </w:rPr>
            </w:pPr>
            <w:r w:rsidRPr="002E00B6">
              <w:rPr>
                <w:rFonts w:cstheme="minorHAnsi"/>
                <w:color w:val="000000" w:themeColor="text1"/>
                <w:sz w:val="20"/>
                <w:szCs w:val="20"/>
              </w:rPr>
              <w:t xml:space="preserve">Recommended to have total bilirubin </w:t>
            </w:r>
            <w:r w:rsidRPr="002E00B6">
              <w:rPr>
                <w:rFonts w:cstheme="minorHAnsi"/>
                <w:kern w:val="0"/>
                <w:sz w:val="20"/>
                <w:szCs w:val="20"/>
              </w:rPr>
              <w:t xml:space="preserve">≤1.5 × ULN, </w:t>
            </w:r>
          </w:p>
          <w:p w14:paraId="06E0E745" w14:textId="2A1AC917" w:rsidR="003F5A1B" w:rsidRPr="002E00B6" w:rsidRDefault="002E00B6" w:rsidP="002E00B6">
            <w:pPr>
              <w:autoSpaceDE w:val="0"/>
              <w:autoSpaceDN w:val="0"/>
              <w:adjustRightInd w:val="0"/>
              <w:rPr>
                <w:rFonts w:cstheme="minorHAnsi"/>
                <w:color w:val="FF2F92"/>
                <w:sz w:val="20"/>
                <w:szCs w:val="20"/>
              </w:rPr>
            </w:pPr>
            <w:r w:rsidRPr="002E00B6">
              <w:rPr>
                <w:rFonts w:cstheme="minorHAnsi"/>
                <w:kern w:val="0"/>
                <w:sz w:val="20"/>
                <w:szCs w:val="20"/>
              </w:rPr>
              <w:t>ALT and AST ≤2.5 × ULN</w:t>
            </w:r>
            <w:r>
              <w:rPr>
                <w:rFonts w:cstheme="minorHAnsi"/>
                <w:kern w:val="0"/>
                <w:sz w:val="20"/>
                <w:szCs w:val="20"/>
              </w:rPr>
              <w:t>.</w:t>
            </w:r>
          </w:p>
        </w:tc>
      </w:tr>
      <w:tr w:rsidR="0087290B" w:rsidRPr="0012452C" w14:paraId="5F9C208D" w14:textId="77777777" w:rsidTr="00B71D4E">
        <w:trPr>
          <w:gridBefore w:val="1"/>
          <w:gridAfter w:val="1"/>
          <w:wBefore w:w="180" w:type="dxa"/>
          <w:wAfter w:w="180" w:type="dxa"/>
          <w:trHeight w:val="800"/>
        </w:trPr>
        <w:tc>
          <w:tcPr>
            <w:tcW w:w="1674" w:type="dxa"/>
          </w:tcPr>
          <w:p w14:paraId="72B783CE" w14:textId="3FAB0155" w:rsidR="0087290B" w:rsidRPr="00BF409E" w:rsidRDefault="0087290B" w:rsidP="0087290B">
            <w:pPr>
              <w:rPr>
                <w:rFonts w:cstheme="minorHAnsi"/>
                <w:b/>
                <w:bCs/>
                <w:color w:val="000000" w:themeColor="text1"/>
                <w:sz w:val="20"/>
                <w:szCs w:val="20"/>
              </w:rPr>
            </w:pPr>
            <w:r w:rsidRPr="00BF409E">
              <w:rPr>
                <w:rFonts w:cstheme="minorHAnsi"/>
                <w:b/>
                <w:bCs/>
                <w:color w:val="000000" w:themeColor="text1"/>
                <w:sz w:val="20"/>
                <w:szCs w:val="20"/>
              </w:rPr>
              <w:t xml:space="preserve">Thyroid </w:t>
            </w:r>
            <w:r w:rsidR="007E04D1">
              <w:rPr>
                <w:rFonts w:cstheme="minorHAnsi"/>
                <w:b/>
                <w:bCs/>
                <w:color w:val="000000" w:themeColor="text1"/>
                <w:sz w:val="20"/>
                <w:szCs w:val="20"/>
              </w:rPr>
              <w:t>p</w:t>
            </w:r>
            <w:r w:rsidR="00791682">
              <w:rPr>
                <w:rFonts w:cstheme="minorHAnsi"/>
                <w:b/>
                <w:bCs/>
                <w:color w:val="000000" w:themeColor="text1"/>
                <w:sz w:val="20"/>
                <w:szCs w:val="20"/>
              </w:rPr>
              <w:t>anel</w:t>
            </w:r>
          </w:p>
          <w:p w14:paraId="578941EC" w14:textId="06E42801" w:rsidR="00F05A68" w:rsidRPr="00BF409E" w:rsidRDefault="00F05A68" w:rsidP="0087290B">
            <w:pPr>
              <w:rPr>
                <w:rFonts w:cstheme="minorHAnsi"/>
                <w:b/>
                <w:bCs/>
                <w:color w:val="000000" w:themeColor="text1"/>
                <w:sz w:val="20"/>
                <w:szCs w:val="20"/>
              </w:rPr>
            </w:pPr>
            <w:r w:rsidRPr="00BF409E">
              <w:rPr>
                <w:rFonts w:cstheme="minorHAnsi"/>
                <w:b/>
                <w:bCs/>
                <w:color w:val="000000" w:themeColor="text1"/>
                <w:sz w:val="20"/>
                <w:szCs w:val="20"/>
              </w:rPr>
              <w:t>(</w:t>
            </w:r>
            <w:r w:rsidR="005F25B2" w:rsidRPr="00BF409E">
              <w:rPr>
                <w:rFonts w:cstheme="minorHAnsi"/>
                <w:b/>
                <w:bCs/>
                <w:color w:val="000000" w:themeColor="text1"/>
                <w:sz w:val="20"/>
                <w:szCs w:val="20"/>
              </w:rPr>
              <w:t xml:space="preserve">TSH, </w:t>
            </w:r>
            <w:r w:rsidR="005F25B2">
              <w:rPr>
                <w:rFonts w:cstheme="minorHAnsi"/>
                <w:b/>
                <w:bCs/>
                <w:color w:val="000000" w:themeColor="text1"/>
                <w:sz w:val="20"/>
                <w:szCs w:val="20"/>
              </w:rPr>
              <w:t>free</w:t>
            </w:r>
            <w:r w:rsidR="007E04D1">
              <w:rPr>
                <w:rFonts w:cstheme="minorHAnsi"/>
                <w:b/>
                <w:bCs/>
                <w:color w:val="000000" w:themeColor="text1"/>
                <w:sz w:val="20"/>
                <w:szCs w:val="20"/>
              </w:rPr>
              <w:t xml:space="preserve"> </w:t>
            </w:r>
            <w:r w:rsidRPr="00BF409E">
              <w:rPr>
                <w:rFonts w:cstheme="minorHAnsi"/>
                <w:b/>
                <w:bCs/>
                <w:color w:val="000000" w:themeColor="text1"/>
                <w:sz w:val="20"/>
                <w:szCs w:val="20"/>
              </w:rPr>
              <w:t>T3</w:t>
            </w:r>
            <w:r w:rsidR="003C4333" w:rsidRPr="00BF409E">
              <w:rPr>
                <w:rFonts w:cstheme="minorHAnsi"/>
                <w:b/>
                <w:bCs/>
                <w:color w:val="000000" w:themeColor="text1"/>
                <w:sz w:val="20"/>
                <w:szCs w:val="20"/>
              </w:rPr>
              <w:t xml:space="preserve">, </w:t>
            </w:r>
            <w:r w:rsidR="007E04D1">
              <w:rPr>
                <w:rFonts w:cstheme="minorHAnsi"/>
                <w:b/>
                <w:bCs/>
                <w:color w:val="000000" w:themeColor="text1"/>
                <w:sz w:val="20"/>
                <w:szCs w:val="20"/>
              </w:rPr>
              <w:t xml:space="preserve">free </w:t>
            </w:r>
            <w:r w:rsidR="003C4333" w:rsidRPr="00BF409E">
              <w:rPr>
                <w:rFonts w:cstheme="minorHAnsi"/>
                <w:b/>
                <w:bCs/>
                <w:color w:val="000000" w:themeColor="text1"/>
                <w:sz w:val="20"/>
                <w:szCs w:val="20"/>
              </w:rPr>
              <w:t>T4)</w:t>
            </w:r>
          </w:p>
          <w:p w14:paraId="29503955" w14:textId="68B22BA3" w:rsidR="0087290B" w:rsidRPr="00BF409E" w:rsidRDefault="0087290B" w:rsidP="0087290B">
            <w:pPr>
              <w:rPr>
                <w:rFonts w:cstheme="minorHAnsi"/>
                <w:b/>
                <w:bCs/>
                <w:color w:val="000000" w:themeColor="text1"/>
                <w:sz w:val="20"/>
                <w:szCs w:val="20"/>
              </w:rPr>
            </w:pPr>
          </w:p>
        </w:tc>
        <w:tc>
          <w:tcPr>
            <w:tcW w:w="3906" w:type="dxa"/>
            <w:gridSpan w:val="2"/>
          </w:tcPr>
          <w:p w14:paraId="05B43864" w14:textId="3E50BC53" w:rsidR="0087290B" w:rsidRPr="00BF409E" w:rsidRDefault="007318D0" w:rsidP="003D55A6">
            <w:pPr>
              <w:autoSpaceDE w:val="0"/>
              <w:autoSpaceDN w:val="0"/>
              <w:adjustRightInd w:val="0"/>
              <w:rPr>
                <w:rFonts w:cstheme="minorHAnsi"/>
                <w:kern w:val="0"/>
                <w:sz w:val="20"/>
                <w:szCs w:val="20"/>
              </w:rPr>
            </w:pPr>
            <w:r w:rsidRPr="00BF409E">
              <w:rPr>
                <w:rFonts w:cstheme="minorHAnsi"/>
                <w:kern w:val="0"/>
                <w:sz w:val="20"/>
                <w:szCs w:val="20"/>
              </w:rPr>
              <w:t>Baseline, then as clinically</w:t>
            </w:r>
            <w:r w:rsidR="003D55A6" w:rsidRPr="00BF409E">
              <w:rPr>
                <w:rFonts w:cstheme="minorHAnsi"/>
                <w:kern w:val="0"/>
                <w:sz w:val="20"/>
                <w:szCs w:val="20"/>
              </w:rPr>
              <w:t xml:space="preserve"> </w:t>
            </w:r>
            <w:r w:rsidRPr="00BF409E">
              <w:rPr>
                <w:rFonts w:cstheme="minorHAnsi"/>
                <w:kern w:val="0"/>
                <w:sz w:val="20"/>
                <w:szCs w:val="20"/>
              </w:rPr>
              <w:t>indicated until surgery.</w:t>
            </w:r>
            <w:r w:rsidR="003D55A6" w:rsidRPr="00BF409E">
              <w:rPr>
                <w:rFonts w:cstheme="minorHAnsi"/>
                <w:kern w:val="0"/>
                <w:sz w:val="20"/>
                <w:szCs w:val="20"/>
              </w:rPr>
              <w:t xml:space="preserve"> </w:t>
            </w:r>
            <w:r w:rsidRPr="00BF409E">
              <w:rPr>
                <w:rFonts w:cstheme="minorHAnsi"/>
                <w:kern w:val="0"/>
                <w:sz w:val="20"/>
                <w:szCs w:val="20"/>
              </w:rPr>
              <w:t xml:space="preserve">Post-surgery, </w:t>
            </w:r>
            <w:r w:rsidR="005F25B2">
              <w:rPr>
                <w:rFonts w:cstheme="minorHAnsi"/>
                <w:kern w:val="0"/>
                <w:sz w:val="20"/>
                <w:szCs w:val="20"/>
              </w:rPr>
              <w:t>initial dose</w:t>
            </w:r>
            <w:r w:rsidRPr="00BF409E">
              <w:rPr>
                <w:rFonts w:cstheme="minorHAnsi"/>
                <w:kern w:val="0"/>
                <w:sz w:val="20"/>
                <w:szCs w:val="20"/>
              </w:rPr>
              <w:t xml:space="preserve">, then as clinically indicated for </w:t>
            </w:r>
            <w:r w:rsidR="005F25B2">
              <w:rPr>
                <w:rFonts w:cstheme="minorHAnsi"/>
                <w:kern w:val="0"/>
                <w:sz w:val="20"/>
                <w:szCs w:val="20"/>
              </w:rPr>
              <w:t>Q4W</w:t>
            </w:r>
            <w:r w:rsidRPr="00BF409E">
              <w:rPr>
                <w:rFonts w:cstheme="minorHAnsi"/>
                <w:kern w:val="0"/>
                <w:sz w:val="20"/>
                <w:szCs w:val="20"/>
              </w:rPr>
              <w:t>.</w:t>
            </w:r>
          </w:p>
        </w:tc>
        <w:tc>
          <w:tcPr>
            <w:tcW w:w="4680" w:type="dxa"/>
          </w:tcPr>
          <w:p w14:paraId="6DE404E1" w14:textId="3D4AD7E0" w:rsidR="0087290B" w:rsidRPr="00BF409E" w:rsidRDefault="002E00B6" w:rsidP="0087290B">
            <w:pPr>
              <w:rPr>
                <w:rFonts w:cstheme="minorHAnsi"/>
                <w:color w:val="FA00FF"/>
                <w:sz w:val="20"/>
                <w:szCs w:val="20"/>
              </w:rPr>
            </w:pPr>
            <w:r>
              <w:rPr>
                <w:rFonts w:cstheme="minorHAnsi"/>
                <w:sz w:val="20"/>
                <w:szCs w:val="20"/>
              </w:rPr>
              <w:t>Free T3 or Free T4 will only be measured if TSH is abnormal or if there is clinical suspicion of an adverse event related to the endocrine system.</w:t>
            </w:r>
          </w:p>
        </w:tc>
      </w:tr>
      <w:tr w:rsidR="0087290B" w:rsidRPr="0012452C" w14:paraId="26EE9592" w14:textId="77777777" w:rsidTr="00B71D4E">
        <w:trPr>
          <w:gridBefore w:val="1"/>
          <w:gridAfter w:val="1"/>
          <w:wBefore w:w="180" w:type="dxa"/>
          <w:wAfter w:w="180" w:type="dxa"/>
          <w:trHeight w:val="719"/>
        </w:trPr>
        <w:tc>
          <w:tcPr>
            <w:tcW w:w="1674" w:type="dxa"/>
          </w:tcPr>
          <w:p w14:paraId="765B5E13" w14:textId="77777777" w:rsidR="0087290B" w:rsidRPr="00BF409E" w:rsidRDefault="0087290B" w:rsidP="0087290B">
            <w:pPr>
              <w:rPr>
                <w:rFonts w:cstheme="minorHAnsi"/>
                <w:b/>
                <w:bCs/>
                <w:color w:val="000000" w:themeColor="text1"/>
                <w:sz w:val="20"/>
                <w:szCs w:val="20"/>
              </w:rPr>
            </w:pPr>
            <w:r w:rsidRPr="00BF409E">
              <w:rPr>
                <w:rFonts w:cstheme="minorHAnsi"/>
                <w:b/>
                <w:bCs/>
                <w:color w:val="000000" w:themeColor="text1"/>
                <w:sz w:val="20"/>
                <w:szCs w:val="20"/>
              </w:rPr>
              <w:t>Urine pregnancy</w:t>
            </w:r>
          </w:p>
          <w:p w14:paraId="0399A1F6" w14:textId="2A14ECC9" w:rsidR="0087290B" w:rsidRPr="00BF409E" w:rsidRDefault="0067199D" w:rsidP="0087290B">
            <w:pPr>
              <w:rPr>
                <w:rFonts w:cstheme="minorHAnsi"/>
                <w:b/>
                <w:bCs/>
                <w:color w:val="000000" w:themeColor="text1"/>
                <w:sz w:val="20"/>
                <w:szCs w:val="20"/>
              </w:rPr>
            </w:pPr>
            <w:r>
              <w:rPr>
                <w:rFonts w:cstheme="minorHAnsi"/>
                <w:b/>
                <w:bCs/>
                <w:color w:val="000000" w:themeColor="text1"/>
                <w:sz w:val="20"/>
                <w:szCs w:val="20"/>
              </w:rPr>
              <w:t>test</w:t>
            </w:r>
          </w:p>
        </w:tc>
        <w:tc>
          <w:tcPr>
            <w:tcW w:w="3906" w:type="dxa"/>
            <w:gridSpan w:val="2"/>
          </w:tcPr>
          <w:p w14:paraId="3D1E3435" w14:textId="27EC1B5B" w:rsidR="003D55A6" w:rsidRPr="00BF409E" w:rsidRDefault="003D55A6" w:rsidP="003D55A6">
            <w:pPr>
              <w:autoSpaceDE w:val="0"/>
              <w:autoSpaceDN w:val="0"/>
              <w:adjustRightInd w:val="0"/>
              <w:rPr>
                <w:rFonts w:cstheme="minorHAnsi"/>
                <w:kern w:val="0"/>
                <w:sz w:val="20"/>
                <w:szCs w:val="20"/>
              </w:rPr>
            </w:pPr>
            <w:r w:rsidRPr="00BF409E">
              <w:rPr>
                <w:rFonts w:cstheme="minorHAnsi"/>
                <w:kern w:val="0"/>
                <w:sz w:val="20"/>
                <w:szCs w:val="20"/>
              </w:rPr>
              <w:t xml:space="preserve">Baseline, then </w:t>
            </w:r>
            <w:r w:rsidR="005F25B2">
              <w:rPr>
                <w:rFonts w:cstheme="minorHAnsi"/>
                <w:kern w:val="0"/>
                <w:sz w:val="20"/>
                <w:szCs w:val="20"/>
              </w:rPr>
              <w:t>Q3W</w:t>
            </w:r>
            <w:r w:rsidRPr="00BF409E">
              <w:rPr>
                <w:rFonts w:cstheme="minorHAnsi"/>
                <w:kern w:val="0"/>
                <w:sz w:val="20"/>
                <w:szCs w:val="20"/>
              </w:rPr>
              <w:t xml:space="preserve">. Post-surgery, </w:t>
            </w:r>
            <w:r w:rsidR="005F25B2">
              <w:rPr>
                <w:rFonts w:cstheme="minorHAnsi"/>
                <w:kern w:val="0"/>
                <w:sz w:val="20"/>
                <w:szCs w:val="20"/>
              </w:rPr>
              <w:t>Q4W</w:t>
            </w:r>
            <w:r w:rsidRPr="00BF409E">
              <w:rPr>
                <w:rFonts w:cstheme="minorHAnsi"/>
                <w:kern w:val="0"/>
                <w:sz w:val="20"/>
                <w:szCs w:val="20"/>
              </w:rPr>
              <w:t>.</w:t>
            </w:r>
          </w:p>
          <w:p w14:paraId="37E6FA96" w14:textId="64FFF6F6" w:rsidR="004D3ABF" w:rsidRPr="00BF409E" w:rsidRDefault="004D3ABF" w:rsidP="00C47C17">
            <w:pPr>
              <w:autoSpaceDE w:val="0"/>
              <w:autoSpaceDN w:val="0"/>
              <w:adjustRightInd w:val="0"/>
              <w:rPr>
                <w:rFonts w:cstheme="minorHAnsi"/>
                <w:sz w:val="20"/>
                <w:szCs w:val="20"/>
              </w:rPr>
            </w:pPr>
          </w:p>
        </w:tc>
        <w:tc>
          <w:tcPr>
            <w:tcW w:w="4680" w:type="dxa"/>
          </w:tcPr>
          <w:p w14:paraId="33282A61" w14:textId="586698F0" w:rsidR="0087290B" w:rsidRPr="00BF409E" w:rsidRDefault="0087290B" w:rsidP="0087290B">
            <w:pPr>
              <w:rPr>
                <w:rFonts w:cstheme="minorHAnsi"/>
                <w:color w:val="000000" w:themeColor="text1"/>
                <w:sz w:val="20"/>
                <w:szCs w:val="20"/>
              </w:rPr>
            </w:pPr>
            <w:r w:rsidRPr="00BF409E">
              <w:rPr>
                <w:rFonts w:cstheme="minorHAnsi"/>
                <w:color w:val="000000" w:themeColor="text1"/>
                <w:sz w:val="20"/>
                <w:szCs w:val="20"/>
              </w:rPr>
              <w:t xml:space="preserve">Advise females of reproductive potential to use effective contraception during treatment with IMFINZI and </w:t>
            </w:r>
            <w:r w:rsidR="005F25B2" w:rsidRPr="00BF409E">
              <w:rPr>
                <w:rFonts w:cstheme="minorHAnsi"/>
                <w:color w:val="000000" w:themeColor="text1"/>
                <w:sz w:val="20"/>
                <w:szCs w:val="20"/>
              </w:rPr>
              <w:t xml:space="preserve">for </w:t>
            </w:r>
            <w:r w:rsidR="005F25B2">
              <w:rPr>
                <w:rFonts w:cstheme="minorHAnsi"/>
                <w:color w:val="000000" w:themeColor="text1"/>
                <w:sz w:val="20"/>
                <w:szCs w:val="20"/>
              </w:rPr>
              <w:t>3</w:t>
            </w:r>
            <w:r w:rsidRPr="00BF409E">
              <w:rPr>
                <w:rFonts w:cstheme="minorHAnsi"/>
                <w:color w:val="000000" w:themeColor="text1"/>
                <w:sz w:val="20"/>
                <w:szCs w:val="20"/>
              </w:rPr>
              <w:t xml:space="preserve"> months after the last dose of IMFINZI.</w:t>
            </w:r>
          </w:p>
        </w:tc>
      </w:tr>
      <w:tr w:rsidR="0087290B" w:rsidRPr="0012452C" w14:paraId="1E05FAB9" w14:textId="77777777" w:rsidTr="00B71D4E">
        <w:trPr>
          <w:gridBefore w:val="1"/>
          <w:gridAfter w:val="1"/>
          <w:wBefore w:w="180" w:type="dxa"/>
          <w:wAfter w:w="180" w:type="dxa"/>
          <w:trHeight w:val="2123"/>
        </w:trPr>
        <w:tc>
          <w:tcPr>
            <w:tcW w:w="1674" w:type="dxa"/>
          </w:tcPr>
          <w:p w14:paraId="29ECBCB6" w14:textId="613D0C27" w:rsidR="0087290B" w:rsidRPr="00BF409E" w:rsidRDefault="0087290B" w:rsidP="0087290B">
            <w:pPr>
              <w:rPr>
                <w:rFonts w:cstheme="minorHAnsi"/>
                <w:b/>
                <w:bCs/>
                <w:color w:val="000000" w:themeColor="text1"/>
                <w:sz w:val="20"/>
                <w:szCs w:val="20"/>
              </w:rPr>
            </w:pPr>
            <w:r w:rsidRPr="00BF409E">
              <w:rPr>
                <w:rFonts w:cstheme="minorHAnsi"/>
                <w:b/>
                <w:bCs/>
                <w:color w:val="000000" w:themeColor="text1"/>
                <w:sz w:val="20"/>
                <w:szCs w:val="20"/>
              </w:rPr>
              <w:t>Other monitoring</w:t>
            </w:r>
          </w:p>
        </w:tc>
        <w:tc>
          <w:tcPr>
            <w:tcW w:w="3906" w:type="dxa"/>
            <w:gridSpan w:val="2"/>
          </w:tcPr>
          <w:p w14:paraId="208525C7" w14:textId="12AA1E08" w:rsidR="003D55A6" w:rsidRPr="00BF409E" w:rsidRDefault="003D55A6" w:rsidP="003D55A6">
            <w:pPr>
              <w:autoSpaceDE w:val="0"/>
              <w:autoSpaceDN w:val="0"/>
              <w:adjustRightInd w:val="0"/>
              <w:rPr>
                <w:rFonts w:cstheme="minorHAnsi"/>
                <w:kern w:val="0"/>
                <w:sz w:val="20"/>
                <w:szCs w:val="20"/>
              </w:rPr>
            </w:pPr>
            <w:r w:rsidRPr="00BF409E">
              <w:rPr>
                <w:rFonts w:cstheme="minorHAnsi"/>
                <w:kern w:val="0"/>
                <w:sz w:val="20"/>
                <w:szCs w:val="20"/>
              </w:rPr>
              <w:t xml:space="preserve">Baseline, </w:t>
            </w:r>
            <w:r w:rsidR="005F25B2">
              <w:rPr>
                <w:rFonts w:cstheme="minorHAnsi"/>
                <w:kern w:val="0"/>
                <w:sz w:val="20"/>
                <w:szCs w:val="20"/>
              </w:rPr>
              <w:t>Q3W</w:t>
            </w:r>
            <w:r w:rsidRPr="00BF409E">
              <w:rPr>
                <w:rFonts w:cstheme="minorHAnsi"/>
                <w:kern w:val="0"/>
                <w:sz w:val="20"/>
                <w:szCs w:val="20"/>
              </w:rPr>
              <w:t xml:space="preserve">, then within 30 days before surgery. Post-surgery, </w:t>
            </w:r>
            <w:r w:rsidR="005F25B2">
              <w:rPr>
                <w:rFonts w:cstheme="minorHAnsi"/>
                <w:kern w:val="0"/>
                <w:sz w:val="20"/>
                <w:szCs w:val="20"/>
              </w:rPr>
              <w:t>Q4W</w:t>
            </w:r>
            <w:r w:rsidRPr="00BF409E">
              <w:rPr>
                <w:rFonts w:cstheme="minorHAnsi"/>
                <w:kern w:val="0"/>
                <w:sz w:val="20"/>
                <w:szCs w:val="20"/>
              </w:rPr>
              <w:t>.</w:t>
            </w:r>
          </w:p>
          <w:p w14:paraId="5479ED14" w14:textId="77777777" w:rsidR="004D3ABF" w:rsidRPr="00BF409E" w:rsidRDefault="004D3ABF" w:rsidP="0087290B">
            <w:pPr>
              <w:rPr>
                <w:rFonts w:cstheme="minorHAnsi"/>
                <w:sz w:val="20"/>
                <w:szCs w:val="20"/>
              </w:rPr>
            </w:pPr>
          </w:p>
          <w:p w14:paraId="7A104E35" w14:textId="4D9AE4A9" w:rsidR="0066766B" w:rsidRPr="00BF409E" w:rsidRDefault="0066766B" w:rsidP="0087290B">
            <w:pPr>
              <w:rPr>
                <w:rFonts w:cstheme="minorHAnsi"/>
                <w:color w:val="000000" w:themeColor="text1"/>
                <w:sz w:val="20"/>
                <w:szCs w:val="20"/>
              </w:rPr>
            </w:pPr>
          </w:p>
        </w:tc>
        <w:tc>
          <w:tcPr>
            <w:tcW w:w="4680" w:type="dxa"/>
          </w:tcPr>
          <w:p w14:paraId="5E953B04" w14:textId="1D16245E" w:rsidR="0066766B" w:rsidRPr="005F25B2" w:rsidRDefault="000354F1" w:rsidP="0087290B">
            <w:pPr>
              <w:rPr>
                <w:rFonts w:cstheme="minorHAnsi"/>
                <w:sz w:val="20"/>
                <w:szCs w:val="20"/>
              </w:rPr>
            </w:pPr>
            <w:r w:rsidRPr="00BF409E">
              <w:rPr>
                <w:rFonts w:cstheme="minorHAnsi"/>
                <w:sz w:val="20"/>
                <w:szCs w:val="20"/>
              </w:rPr>
              <w:t>Monitor patients closely for symptoms and signs that may be clinical manifestations of underlying</w:t>
            </w:r>
            <w:r w:rsidR="0067199D">
              <w:rPr>
                <w:rFonts w:cstheme="minorHAnsi"/>
                <w:sz w:val="20"/>
                <w:szCs w:val="20"/>
              </w:rPr>
              <w:t xml:space="preserve">   </w:t>
            </w:r>
            <w:r w:rsidRPr="00BF409E">
              <w:rPr>
                <w:rFonts w:cstheme="minorHAnsi"/>
                <w:sz w:val="20"/>
                <w:szCs w:val="20"/>
              </w:rPr>
              <w:t xml:space="preserve"> immune-mediated adverse reactions. </w:t>
            </w:r>
            <w:r w:rsidR="0087290B" w:rsidRPr="00BF409E">
              <w:rPr>
                <w:rFonts w:cstheme="minorHAnsi"/>
                <w:color w:val="000000" w:themeColor="text1"/>
                <w:sz w:val="20"/>
                <w:szCs w:val="20"/>
              </w:rPr>
              <w:t xml:space="preserve">Signs and symptoms </w:t>
            </w:r>
            <w:r w:rsidR="001022BC">
              <w:rPr>
                <w:rFonts w:cstheme="minorHAnsi"/>
                <w:color w:val="000000" w:themeColor="text1"/>
                <w:sz w:val="20"/>
                <w:szCs w:val="20"/>
              </w:rPr>
              <w:t>includ</w:t>
            </w:r>
            <w:r w:rsidR="00C11994">
              <w:rPr>
                <w:rFonts w:cstheme="minorHAnsi"/>
                <w:color w:val="000000" w:themeColor="text1"/>
                <w:sz w:val="20"/>
                <w:szCs w:val="20"/>
              </w:rPr>
              <w:t>e</w:t>
            </w:r>
            <w:r w:rsidR="0087290B" w:rsidRPr="00BF409E">
              <w:rPr>
                <w:rFonts w:cstheme="minorHAnsi"/>
                <w:color w:val="000000" w:themeColor="text1"/>
                <w:sz w:val="20"/>
                <w:szCs w:val="20"/>
              </w:rPr>
              <w:t xml:space="preserve"> pneumonitis, rash, </w:t>
            </w:r>
            <w:r w:rsidR="0066766B" w:rsidRPr="00BF409E">
              <w:rPr>
                <w:rFonts w:cstheme="minorHAnsi"/>
                <w:color w:val="000000" w:themeColor="text1"/>
                <w:sz w:val="20"/>
                <w:szCs w:val="20"/>
              </w:rPr>
              <w:t>hepatitis, endocrinopathies, hypophysitis,</w:t>
            </w:r>
            <w:r w:rsidR="00277F7A" w:rsidRPr="00BF409E">
              <w:rPr>
                <w:rFonts w:cstheme="minorHAnsi"/>
                <w:color w:val="000000" w:themeColor="text1"/>
                <w:sz w:val="20"/>
                <w:szCs w:val="20"/>
              </w:rPr>
              <w:t xml:space="preserve"> hyperglycemia or other signs and symptoms of diabetes, thyroid</w:t>
            </w:r>
            <w:r w:rsidR="005B5CCD" w:rsidRPr="00BF409E">
              <w:rPr>
                <w:rFonts w:cstheme="minorHAnsi"/>
                <w:color w:val="000000" w:themeColor="text1"/>
                <w:sz w:val="20"/>
                <w:szCs w:val="20"/>
              </w:rPr>
              <w:t xml:space="preserve"> disorders, thyroiditis, hyperthyroidism, nephritis with renal dysfunction</w:t>
            </w:r>
            <w:r w:rsidR="00C47C17" w:rsidRPr="00BF409E">
              <w:rPr>
                <w:rFonts w:cstheme="minorHAnsi"/>
                <w:color w:val="000000" w:themeColor="text1"/>
                <w:sz w:val="20"/>
                <w:szCs w:val="20"/>
              </w:rPr>
              <w:t>, dermatology reactions, pancreatitis, and other immune-mediated adverse reactions.</w:t>
            </w:r>
          </w:p>
        </w:tc>
      </w:tr>
      <w:tr w:rsidR="003F5A1B" w14:paraId="1C7242D3" w14:textId="77777777" w:rsidTr="00B71D4E">
        <w:trPr>
          <w:trHeight w:val="440"/>
        </w:trPr>
        <w:tc>
          <w:tcPr>
            <w:tcW w:w="10620" w:type="dxa"/>
            <w:gridSpan w:val="6"/>
            <w:shd w:val="clear" w:color="auto" w:fill="BFBFBF" w:themeFill="background1" w:themeFillShade="BF"/>
          </w:tcPr>
          <w:p w14:paraId="6C29D8E2" w14:textId="096F5195" w:rsidR="003F5A1B" w:rsidRPr="00FC4276" w:rsidRDefault="003F5A1B" w:rsidP="003F5A1B">
            <w:pPr>
              <w:rPr>
                <w:b/>
                <w:bCs/>
                <w:vertAlign w:val="superscript"/>
              </w:rPr>
            </w:pPr>
            <w:r>
              <w:rPr>
                <w:b/>
                <w:bCs/>
              </w:rPr>
              <w:lastRenderedPageBreak/>
              <w:t>Treatment Conditions and Parameters</w:t>
            </w:r>
            <w:r w:rsidR="00FC4276">
              <w:rPr>
                <w:b/>
                <w:bCs/>
                <w:vertAlign w:val="superscript"/>
              </w:rPr>
              <w:t>1</w:t>
            </w:r>
          </w:p>
        </w:tc>
      </w:tr>
      <w:tr w:rsidR="003F5A1B" w14:paraId="16E4D04C" w14:textId="77777777" w:rsidTr="00B71D4E">
        <w:trPr>
          <w:trHeight w:val="2034"/>
        </w:trPr>
        <w:tc>
          <w:tcPr>
            <w:tcW w:w="2631" w:type="dxa"/>
            <w:gridSpan w:val="3"/>
          </w:tcPr>
          <w:p w14:paraId="43A39ACF" w14:textId="1BDBA37F" w:rsidR="003F5A1B" w:rsidRDefault="003F5A1B" w:rsidP="003F5A1B">
            <w:pPr>
              <w:rPr>
                <w:b/>
                <w:bCs/>
              </w:rPr>
            </w:pPr>
            <w:r>
              <w:rPr>
                <w:b/>
                <w:bCs/>
              </w:rPr>
              <w:t xml:space="preserve">Recommended </w:t>
            </w:r>
            <w:r w:rsidR="001022BC">
              <w:rPr>
                <w:b/>
                <w:bCs/>
              </w:rPr>
              <w:t>h</w:t>
            </w:r>
            <w:r>
              <w:rPr>
                <w:b/>
                <w:bCs/>
              </w:rPr>
              <w:t>old/</w:t>
            </w:r>
            <w:r w:rsidR="001022BC">
              <w:rPr>
                <w:b/>
                <w:bCs/>
              </w:rPr>
              <w:t>d</w:t>
            </w:r>
            <w:r>
              <w:rPr>
                <w:b/>
                <w:bCs/>
              </w:rPr>
              <w:t xml:space="preserve">iscontinuation </w:t>
            </w:r>
            <w:r w:rsidR="001022BC">
              <w:rPr>
                <w:b/>
                <w:bCs/>
              </w:rPr>
              <w:t>p</w:t>
            </w:r>
            <w:r>
              <w:rPr>
                <w:b/>
                <w:bCs/>
              </w:rPr>
              <w:t>arameters</w:t>
            </w:r>
          </w:p>
          <w:p w14:paraId="667A61B5" w14:textId="4330E192" w:rsidR="003F5A1B" w:rsidRPr="003F5A1B" w:rsidRDefault="003F5A1B" w:rsidP="003F5A1B">
            <w:r>
              <w:t>Please see complete Prescribing Information for additional information regarding therapeutic interventions</w:t>
            </w:r>
          </w:p>
        </w:tc>
        <w:tc>
          <w:tcPr>
            <w:tcW w:w="7989" w:type="dxa"/>
            <w:gridSpan w:val="3"/>
          </w:tcPr>
          <w:p w14:paraId="445FE767" w14:textId="61D3D22F" w:rsidR="005D29FF" w:rsidRPr="0067199D" w:rsidRDefault="005D29FF" w:rsidP="00353792">
            <w:r w:rsidRPr="0067199D">
              <w:t xml:space="preserve">No dose reduction for IMFINZI is recommended. In general, withhold IMFINZI for severe </w:t>
            </w:r>
            <w:r w:rsidRPr="0067199D">
              <w:rPr>
                <w:b/>
                <w:bCs/>
              </w:rPr>
              <w:t>(Grade 3)</w:t>
            </w:r>
            <w:r w:rsidRPr="0067199D">
              <w:t xml:space="preserve"> immune-mediated adverse reactions. Permanently discontinue IMFINZI for life-threatening </w:t>
            </w:r>
            <w:r w:rsidRPr="0067199D">
              <w:rPr>
                <w:b/>
                <w:bCs/>
              </w:rPr>
              <w:t>(Grade 4)</w:t>
            </w:r>
            <w:r w:rsidRPr="0067199D">
              <w:t xml:space="preserve"> immune-mediated adverse reactions, recurrent severe </w:t>
            </w:r>
            <w:r w:rsidRPr="0067199D">
              <w:rPr>
                <w:b/>
                <w:bCs/>
              </w:rPr>
              <w:t>(Grade 3)</w:t>
            </w:r>
            <w:r w:rsidRPr="0067199D">
              <w:t xml:space="preserve"> immune-mediated reactions that require systemic immunosuppressive treatment</w:t>
            </w:r>
            <w:r w:rsidR="0059098F" w:rsidRPr="0067199D">
              <w:t xml:space="preserve"> </w:t>
            </w:r>
            <w:r w:rsidRPr="0067199D">
              <w:t xml:space="preserve">or an inability to reduce corticosteroid dose to 10 mg or less of prednisone or equivalent per day within 12 weeks of initiating corticosteroids. </w:t>
            </w:r>
          </w:p>
          <w:p w14:paraId="16F5D608" w14:textId="77777777" w:rsidR="005D29FF" w:rsidRDefault="005D29FF" w:rsidP="00353792">
            <w:pPr>
              <w:rPr>
                <w:rFonts w:cstheme="minorHAnsi"/>
              </w:rPr>
            </w:pPr>
          </w:p>
          <w:p w14:paraId="43E6F0BB" w14:textId="7BCD39EA" w:rsidR="00353792" w:rsidRPr="005959E1" w:rsidRDefault="00353792" w:rsidP="00353792">
            <w:pPr>
              <w:rPr>
                <w:rFonts w:cstheme="minorHAnsi"/>
                <w:b/>
                <w:bCs/>
              </w:rPr>
            </w:pPr>
            <w:r w:rsidRPr="005959E1">
              <w:rPr>
                <w:rFonts w:cstheme="minorHAnsi"/>
              </w:rPr>
              <w:t xml:space="preserve">Dosage modifications for IMFINZI </w:t>
            </w:r>
            <w:r w:rsidR="0059098F">
              <w:rPr>
                <w:rFonts w:cstheme="minorHAnsi"/>
              </w:rPr>
              <w:t>or IMFINZI in combination with</w:t>
            </w:r>
            <w:r w:rsidRPr="005959E1">
              <w:rPr>
                <w:rFonts w:cstheme="minorHAnsi"/>
              </w:rPr>
              <w:t xml:space="preserve"> </w:t>
            </w:r>
            <w:r w:rsidR="0067199D">
              <w:rPr>
                <w:rFonts w:cstheme="minorHAnsi"/>
              </w:rPr>
              <w:t xml:space="preserve">         </w:t>
            </w:r>
            <w:r w:rsidRPr="005959E1">
              <w:rPr>
                <w:rFonts w:cstheme="minorHAnsi"/>
              </w:rPr>
              <w:t xml:space="preserve">chemotherapy for adverse reactions that require management different from these general guidelines summarized </w:t>
            </w:r>
            <w:r w:rsidR="005959E1" w:rsidRPr="005959E1">
              <w:rPr>
                <w:rFonts w:cstheme="minorHAnsi"/>
              </w:rPr>
              <w:t>below:</w:t>
            </w:r>
          </w:p>
          <w:p w14:paraId="59B27647" w14:textId="0A1E3D1F" w:rsidR="00353792" w:rsidRDefault="00353792" w:rsidP="003F5A1B">
            <w:pPr>
              <w:rPr>
                <w:b/>
                <w:bCs/>
              </w:rPr>
            </w:pPr>
          </w:p>
          <w:p w14:paraId="15C5C0D1" w14:textId="1E4B9D24" w:rsidR="003F5A1B" w:rsidRDefault="003F5A1B" w:rsidP="003F5A1B">
            <w:r w:rsidRPr="00353792">
              <w:rPr>
                <w:b/>
                <w:bCs/>
              </w:rPr>
              <w:t>Pneumonitis:</w:t>
            </w:r>
            <w:r w:rsidRPr="003F5A1B">
              <w:t xml:space="preserve"> For </w:t>
            </w:r>
            <w:r w:rsidRPr="004C2389">
              <w:rPr>
                <w:b/>
                <w:bCs/>
              </w:rPr>
              <w:t>Grade 2</w:t>
            </w:r>
            <w:r w:rsidRPr="003F5A1B">
              <w:t xml:space="preserve">, withhold until </w:t>
            </w:r>
            <w:r w:rsidR="005959E1">
              <w:t>complete or partial resolution (</w:t>
            </w:r>
            <w:r w:rsidR="005959E1" w:rsidRPr="004C2389">
              <w:rPr>
                <w:b/>
                <w:bCs/>
              </w:rPr>
              <w:t>Grade 0 to 1)</w:t>
            </w:r>
            <w:r w:rsidRPr="003F5A1B">
              <w:t xml:space="preserve"> after corticosteroid taper*; </w:t>
            </w:r>
            <w:r w:rsidR="005959E1">
              <w:t xml:space="preserve">for </w:t>
            </w:r>
            <w:r w:rsidR="005959E1" w:rsidRPr="004C2389">
              <w:rPr>
                <w:b/>
                <w:bCs/>
              </w:rPr>
              <w:t>Grade 3 or 4</w:t>
            </w:r>
            <w:r w:rsidR="005959E1">
              <w:t xml:space="preserve">, </w:t>
            </w:r>
            <w:r w:rsidRPr="003F5A1B">
              <w:t>permanently discontinue</w:t>
            </w:r>
            <w:r>
              <w:t>.</w:t>
            </w:r>
          </w:p>
          <w:p w14:paraId="0A9CC57B" w14:textId="6B98ED62" w:rsidR="003F5A1B" w:rsidRDefault="003F5A1B" w:rsidP="003F5A1B"/>
          <w:p w14:paraId="241CD405" w14:textId="127FF3C7" w:rsidR="003F5A1B" w:rsidRDefault="003F5A1B" w:rsidP="003F5A1B">
            <w:r w:rsidRPr="00353792">
              <w:rPr>
                <w:b/>
                <w:bCs/>
              </w:rPr>
              <w:t>Colitis:</w:t>
            </w:r>
            <w:r w:rsidRPr="003F5A1B">
              <w:t xml:space="preserve"> For </w:t>
            </w:r>
            <w:r w:rsidRPr="004C2389">
              <w:rPr>
                <w:b/>
                <w:bCs/>
              </w:rPr>
              <w:t>Grade 2</w:t>
            </w:r>
            <w:r w:rsidRPr="003F5A1B">
              <w:t>, withhold until</w:t>
            </w:r>
            <w:r w:rsidR="005959E1" w:rsidRPr="003F5A1B">
              <w:t xml:space="preserve"> </w:t>
            </w:r>
            <w:r w:rsidR="005959E1">
              <w:t xml:space="preserve">complete or partial resolution </w:t>
            </w:r>
            <w:r w:rsidR="005959E1" w:rsidRPr="004C2389">
              <w:rPr>
                <w:b/>
                <w:bCs/>
              </w:rPr>
              <w:t>(Grade 0 to 1)</w:t>
            </w:r>
            <w:r w:rsidR="005959E1" w:rsidRPr="003F5A1B">
              <w:t xml:space="preserve"> </w:t>
            </w:r>
            <w:r w:rsidRPr="003F5A1B">
              <w:t xml:space="preserve">after corticosteroid taper*; </w:t>
            </w:r>
            <w:r>
              <w:t xml:space="preserve">for </w:t>
            </w:r>
            <w:r w:rsidRPr="004C2389">
              <w:rPr>
                <w:b/>
                <w:bCs/>
              </w:rPr>
              <w:t>Grade 3</w:t>
            </w:r>
            <w:r>
              <w:t xml:space="preserve"> withhold</w:t>
            </w:r>
            <w:r w:rsidR="005959E1" w:rsidRPr="003F5A1B">
              <w:t xml:space="preserve"> until </w:t>
            </w:r>
            <w:r w:rsidR="005959E1">
              <w:t>complete or partial resolution (</w:t>
            </w:r>
            <w:r w:rsidR="005959E1" w:rsidRPr="004C2389">
              <w:rPr>
                <w:b/>
                <w:bCs/>
              </w:rPr>
              <w:t>Grade 0 to 1)</w:t>
            </w:r>
            <w:r w:rsidR="005959E1" w:rsidRPr="003F5A1B">
              <w:t xml:space="preserve"> after corticosteroid taper</w:t>
            </w:r>
            <w:r>
              <w:t xml:space="preserve">* or permanently discontinue; for </w:t>
            </w:r>
            <w:r w:rsidRPr="004C2389">
              <w:rPr>
                <w:b/>
                <w:bCs/>
              </w:rPr>
              <w:t>Grade 4</w:t>
            </w:r>
            <w:r>
              <w:t xml:space="preserve"> permanently discontinue.</w:t>
            </w:r>
          </w:p>
          <w:p w14:paraId="40CB2089" w14:textId="571B4D50" w:rsidR="003F5A1B" w:rsidRDefault="003F5A1B" w:rsidP="003F5A1B"/>
          <w:p w14:paraId="5270C522" w14:textId="1AF0A492" w:rsidR="003F5A1B" w:rsidRDefault="003F5A1B" w:rsidP="003F5A1B">
            <w:r w:rsidRPr="00353792">
              <w:rPr>
                <w:b/>
                <w:bCs/>
              </w:rPr>
              <w:t>Intestinal perforation:</w:t>
            </w:r>
            <w:r w:rsidRPr="003F5A1B">
              <w:t xml:space="preserve"> For </w:t>
            </w:r>
            <w:r>
              <w:t xml:space="preserve">any grade, </w:t>
            </w:r>
            <w:r w:rsidRPr="003F5A1B">
              <w:t xml:space="preserve">permanently </w:t>
            </w:r>
            <w:r>
              <w:t>discontinue.</w:t>
            </w:r>
          </w:p>
          <w:p w14:paraId="5E0DCCA5" w14:textId="77777777" w:rsidR="003F5A1B" w:rsidRDefault="003F5A1B" w:rsidP="003F5A1B"/>
          <w:p w14:paraId="4BABF2C6" w14:textId="1BFE4D15" w:rsidR="003F5A1B" w:rsidRDefault="003F5A1B" w:rsidP="003F5A1B">
            <w:r w:rsidRPr="00353792">
              <w:rPr>
                <w:b/>
                <w:bCs/>
              </w:rPr>
              <w:t>Hepatitis with no tumor involvement of the liver:</w:t>
            </w:r>
            <w:r w:rsidRPr="003F5A1B">
              <w:t xml:space="preserve"> </w:t>
            </w:r>
            <w:r>
              <w:t xml:space="preserve">For ALT or AST increases to more than 3 and up to 8 times the ULN or total bilirubin increases to more than 1.5 and up to 3 times ULN, </w:t>
            </w:r>
            <w:r w:rsidR="00A44A39" w:rsidRPr="003F5A1B">
              <w:t xml:space="preserve">withhold until </w:t>
            </w:r>
            <w:r w:rsidR="00A44A39">
              <w:t xml:space="preserve">complete or partial resolution </w:t>
            </w:r>
            <w:r w:rsidR="00A44A39" w:rsidRPr="004C2389">
              <w:rPr>
                <w:b/>
                <w:bCs/>
              </w:rPr>
              <w:t>(Grade 0 to 1)</w:t>
            </w:r>
            <w:r w:rsidR="00A44A39" w:rsidRPr="003F5A1B">
              <w:t xml:space="preserve"> after corticosteroid taper</w:t>
            </w:r>
            <w:r w:rsidR="00A44A39">
              <w:t>*</w:t>
            </w:r>
            <w:r>
              <w:t>; for ALT or AST increases to more than 8 times ULN or bilirubin increases to more than 3 times the ULN, permanently discontinue</w:t>
            </w:r>
            <w:r w:rsidR="009C3415">
              <w:t>.</w:t>
            </w:r>
          </w:p>
          <w:p w14:paraId="7B95BED7" w14:textId="77777777" w:rsidR="003F5A1B" w:rsidRDefault="003F5A1B" w:rsidP="003F5A1B"/>
          <w:p w14:paraId="4AA53833" w14:textId="5058B839" w:rsidR="004C2389" w:rsidRDefault="003F5A1B" w:rsidP="003F5A1B">
            <w:r w:rsidRPr="00353792">
              <w:rPr>
                <w:b/>
                <w:bCs/>
              </w:rPr>
              <w:t>Hepatitis with tumor involvement of the liver</w:t>
            </w:r>
            <w:r w:rsidR="00050715">
              <w:t>†</w:t>
            </w:r>
            <w:r w:rsidRPr="00353792">
              <w:rPr>
                <w:b/>
                <w:bCs/>
              </w:rPr>
              <w:t>:</w:t>
            </w:r>
            <w:r w:rsidRPr="003F5A1B">
              <w:t xml:space="preserve"> </w:t>
            </w:r>
            <w:r>
              <w:t xml:space="preserve">For ALT or AST increases to more than 1 and up to 3 times the ULN at baseline and increases to more than 5 and up to 10 times ULN or AST or ALT is more than 3 and up to 5 times ULN at baseline and increases to more than 8 and up to 10 times ULN, </w:t>
            </w:r>
            <w:r w:rsidR="00B64874" w:rsidRPr="003F5A1B">
              <w:t xml:space="preserve">withhold until </w:t>
            </w:r>
            <w:r w:rsidR="00B64874">
              <w:t xml:space="preserve">complete or partial resolution </w:t>
            </w:r>
            <w:r w:rsidR="00B64874" w:rsidRPr="00096F36">
              <w:rPr>
                <w:b/>
                <w:bCs/>
              </w:rPr>
              <w:t xml:space="preserve">(Grade </w:t>
            </w:r>
            <w:r w:rsidR="00B64874" w:rsidRPr="004C2389">
              <w:rPr>
                <w:b/>
                <w:bCs/>
              </w:rPr>
              <w:t>0 to 1)</w:t>
            </w:r>
            <w:r w:rsidR="00B64874" w:rsidRPr="003F5A1B">
              <w:t xml:space="preserve"> after corticosteroid taper</w:t>
            </w:r>
            <w:r w:rsidR="00B64874">
              <w:t>*</w:t>
            </w:r>
            <w:r>
              <w:t>; for AST or ALT increases to more than 10 times ULN or total bilirubin increases to more than 3 times the ULN, permanently discontinue</w:t>
            </w:r>
            <w:r w:rsidR="009C3415">
              <w:t>.</w:t>
            </w:r>
          </w:p>
          <w:p w14:paraId="598B4EBE" w14:textId="77777777" w:rsidR="004C2389" w:rsidRDefault="004C2389" w:rsidP="003F5A1B"/>
          <w:p w14:paraId="23F7B36E" w14:textId="5285D6E6" w:rsidR="003F5A1B" w:rsidRDefault="003F5A1B" w:rsidP="003F5A1B">
            <w:r w:rsidRPr="00353792">
              <w:rPr>
                <w:b/>
                <w:bCs/>
              </w:rPr>
              <w:t>Endocrinopathies:</w:t>
            </w:r>
            <w:r>
              <w:t xml:space="preserve"> For </w:t>
            </w:r>
            <w:r w:rsidRPr="004C2389">
              <w:rPr>
                <w:b/>
                <w:bCs/>
              </w:rPr>
              <w:t>Grade 3 or 4</w:t>
            </w:r>
            <w:r>
              <w:t>, withhold until clinically stable or permanently discontinue depending on severity.</w:t>
            </w:r>
          </w:p>
          <w:p w14:paraId="39D9DEA9" w14:textId="0225EF0B" w:rsidR="003F5A1B" w:rsidRDefault="003F5A1B" w:rsidP="003F5A1B"/>
          <w:p w14:paraId="0AED8715" w14:textId="7FDC4E25" w:rsidR="003F5A1B" w:rsidRDefault="003F5A1B" w:rsidP="003F5A1B">
            <w:r w:rsidRPr="00353792">
              <w:rPr>
                <w:b/>
                <w:bCs/>
              </w:rPr>
              <w:lastRenderedPageBreak/>
              <w:t>Nephritis with renal dysfunction:</w:t>
            </w:r>
            <w:r>
              <w:t xml:space="preserve"> For </w:t>
            </w:r>
            <w:r w:rsidRPr="004C2389">
              <w:rPr>
                <w:b/>
                <w:bCs/>
              </w:rPr>
              <w:t>Grade 2 or 3</w:t>
            </w:r>
            <w:r>
              <w:t xml:space="preserve"> increased blood creatinine, </w:t>
            </w:r>
            <w:r w:rsidR="009C3415" w:rsidRPr="003F5A1B">
              <w:t xml:space="preserve">withhold until </w:t>
            </w:r>
            <w:r w:rsidR="009C3415">
              <w:t xml:space="preserve">complete or partial resolution </w:t>
            </w:r>
            <w:r w:rsidR="009C3415" w:rsidRPr="004C2389">
              <w:rPr>
                <w:b/>
                <w:bCs/>
              </w:rPr>
              <w:t>(Grade 0 to 1)</w:t>
            </w:r>
            <w:r w:rsidR="009C3415" w:rsidRPr="003F5A1B">
              <w:t xml:space="preserve"> after corticosteroid taper</w:t>
            </w:r>
            <w:r w:rsidR="009C3415">
              <w:t xml:space="preserve">*; </w:t>
            </w:r>
            <w:r>
              <w:t xml:space="preserve">for Grade 4 increased blood creatinine, permanently discontinue. </w:t>
            </w:r>
          </w:p>
          <w:p w14:paraId="4C64A07E" w14:textId="77777777" w:rsidR="003F5A1B" w:rsidRDefault="003F5A1B" w:rsidP="003F5A1B"/>
          <w:p w14:paraId="52101660" w14:textId="63C8F3F6" w:rsidR="003F5A1B" w:rsidRDefault="003F5A1B" w:rsidP="003F5A1B">
            <w:r w:rsidRPr="00353792">
              <w:rPr>
                <w:b/>
                <w:bCs/>
              </w:rPr>
              <w:t>Exfoliative dermatologic conditions:</w:t>
            </w:r>
            <w:r>
              <w:t xml:space="preserve"> For suspected SJS, TEN, or DRESS, withhold</w:t>
            </w:r>
            <w:r w:rsidR="00E23FF1">
              <w:t xml:space="preserve"> </w:t>
            </w:r>
            <w:r w:rsidR="00E23FF1" w:rsidRPr="003F5A1B">
              <w:t xml:space="preserve">until </w:t>
            </w:r>
            <w:r w:rsidR="00E23FF1">
              <w:t xml:space="preserve">complete or partial resolution </w:t>
            </w:r>
            <w:r w:rsidR="00E23FF1" w:rsidRPr="004C2389">
              <w:rPr>
                <w:b/>
                <w:bCs/>
              </w:rPr>
              <w:t>(Grade 0 to 1)</w:t>
            </w:r>
            <w:r w:rsidR="00E23FF1" w:rsidRPr="003F5A1B">
              <w:t xml:space="preserve"> after corticosteroid taper</w:t>
            </w:r>
            <w:r w:rsidR="00E23FF1">
              <w:t>*</w:t>
            </w:r>
            <w:r>
              <w:t xml:space="preserve">; </w:t>
            </w:r>
            <w:r w:rsidR="001446FE">
              <w:t>if</w:t>
            </w:r>
            <w:r>
              <w:t xml:space="preserve"> confirmed SJS, TEN, or DRESS, permanently discontinue. </w:t>
            </w:r>
          </w:p>
          <w:p w14:paraId="2DE82CB8" w14:textId="77777777" w:rsidR="003F5A1B" w:rsidRDefault="003F5A1B" w:rsidP="003F5A1B"/>
          <w:p w14:paraId="3BC26B81" w14:textId="4F18C32F" w:rsidR="003F5A1B" w:rsidRDefault="003F5A1B" w:rsidP="003F5A1B">
            <w:r w:rsidRPr="00353792">
              <w:rPr>
                <w:b/>
                <w:bCs/>
              </w:rPr>
              <w:t>Myocarditis:</w:t>
            </w:r>
            <w:r>
              <w:t xml:space="preserve"> For </w:t>
            </w:r>
            <w:r w:rsidRPr="004C2389">
              <w:rPr>
                <w:b/>
                <w:bCs/>
              </w:rPr>
              <w:t>Grade 2, 3, or 4</w:t>
            </w:r>
            <w:r>
              <w:t>, permanently discontinue.</w:t>
            </w:r>
          </w:p>
          <w:p w14:paraId="33B02646" w14:textId="77777777" w:rsidR="003F5A1B" w:rsidRDefault="003F5A1B" w:rsidP="003F5A1B"/>
          <w:p w14:paraId="60EF46BE" w14:textId="429549FE" w:rsidR="003F5A1B" w:rsidRDefault="003F5A1B" w:rsidP="003F5A1B">
            <w:r w:rsidRPr="00353792">
              <w:rPr>
                <w:b/>
                <w:bCs/>
              </w:rPr>
              <w:t>Neurological toxicities:</w:t>
            </w:r>
            <w:r>
              <w:t xml:space="preserve"> For </w:t>
            </w:r>
            <w:r w:rsidRPr="004C2389">
              <w:rPr>
                <w:b/>
                <w:bCs/>
              </w:rPr>
              <w:t>Grade 2</w:t>
            </w:r>
            <w:r>
              <w:t xml:space="preserve">, </w:t>
            </w:r>
            <w:r w:rsidR="00E23FF1" w:rsidRPr="003F5A1B">
              <w:t xml:space="preserve">withhold until </w:t>
            </w:r>
            <w:r w:rsidR="00E23FF1">
              <w:t xml:space="preserve">complete or partial resolution </w:t>
            </w:r>
            <w:r w:rsidR="00E23FF1" w:rsidRPr="004C2389">
              <w:rPr>
                <w:b/>
                <w:bCs/>
              </w:rPr>
              <w:t>(Grade 0 to 1)</w:t>
            </w:r>
            <w:r w:rsidR="00E23FF1" w:rsidRPr="003F5A1B">
              <w:t xml:space="preserve"> after corticosteroid taper</w:t>
            </w:r>
            <w:r w:rsidR="00E23FF1">
              <w:t xml:space="preserve">*; </w:t>
            </w:r>
            <w:r>
              <w:t xml:space="preserve">for </w:t>
            </w:r>
            <w:r w:rsidRPr="004C2389">
              <w:rPr>
                <w:b/>
                <w:bCs/>
              </w:rPr>
              <w:t>Grade 3 or 4</w:t>
            </w:r>
            <w:r>
              <w:t xml:space="preserve">, permanently discontinue. </w:t>
            </w:r>
          </w:p>
          <w:p w14:paraId="1FA412C0" w14:textId="77777777" w:rsidR="003F5A1B" w:rsidRDefault="003F5A1B" w:rsidP="003F5A1B"/>
          <w:p w14:paraId="00033A6B" w14:textId="2C2FE6E6" w:rsidR="003F5A1B" w:rsidRPr="003F5A1B" w:rsidRDefault="003F5A1B" w:rsidP="003F5A1B">
            <w:r w:rsidRPr="00353792">
              <w:rPr>
                <w:b/>
                <w:bCs/>
              </w:rPr>
              <w:t>Infusion-related reactions:</w:t>
            </w:r>
            <w:r>
              <w:t xml:space="preserve"> For </w:t>
            </w:r>
            <w:r w:rsidRPr="004C2389">
              <w:rPr>
                <w:b/>
                <w:bCs/>
              </w:rPr>
              <w:t>Grade 1 or 2</w:t>
            </w:r>
            <w:r>
              <w:t xml:space="preserve">, interrupt or slow the rate of infusion; for </w:t>
            </w:r>
            <w:r w:rsidRPr="004C2389">
              <w:rPr>
                <w:b/>
                <w:bCs/>
              </w:rPr>
              <w:t>Grade 3 or 4</w:t>
            </w:r>
            <w:r>
              <w:t xml:space="preserve"> permanently discontinue.</w:t>
            </w:r>
          </w:p>
        </w:tc>
      </w:tr>
    </w:tbl>
    <w:p w14:paraId="295FA1AC" w14:textId="77777777" w:rsidR="00761D56" w:rsidRDefault="00761D56" w:rsidP="001635FF">
      <w:pPr>
        <w:rPr>
          <w:sz w:val="18"/>
          <w:szCs w:val="18"/>
        </w:rPr>
      </w:pPr>
    </w:p>
    <w:p w14:paraId="5CBF7709" w14:textId="5AEFD1C3" w:rsidR="00050715" w:rsidRDefault="00587FAE" w:rsidP="0059098F">
      <w:pPr>
        <w:ind w:left="-432" w:hanging="144"/>
        <w:rPr>
          <w:sz w:val="18"/>
          <w:szCs w:val="18"/>
          <w:vertAlign w:val="superscript"/>
        </w:rPr>
      </w:pPr>
      <w:r w:rsidRPr="001635FF">
        <w:rPr>
          <w:sz w:val="18"/>
          <w:szCs w:val="18"/>
        </w:rPr>
        <w:t xml:space="preserve">*Permanently discontinue if </w:t>
      </w:r>
      <w:r w:rsidR="0059098F">
        <w:rPr>
          <w:sz w:val="18"/>
          <w:szCs w:val="18"/>
        </w:rPr>
        <w:t xml:space="preserve">there is </w:t>
      </w:r>
      <w:r w:rsidRPr="001635FF">
        <w:rPr>
          <w:sz w:val="18"/>
          <w:szCs w:val="18"/>
        </w:rPr>
        <w:t>no complete or partial resolution with 12 weeks of initiating corticosteroids or an inability to reduce corticosteroid dose to 10 mg of prednisone or less per day (or equivalent) within 12 weeks of initiating corticosteroids.</w:t>
      </w:r>
      <w:r w:rsidR="00FC4276">
        <w:rPr>
          <w:sz w:val="18"/>
          <w:szCs w:val="18"/>
          <w:vertAlign w:val="superscript"/>
        </w:rPr>
        <w:t>1</w:t>
      </w:r>
    </w:p>
    <w:p w14:paraId="03BB672E" w14:textId="04E34CD8" w:rsidR="00FD03E3" w:rsidRDefault="00050715" w:rsidP="0059098F">
      <w:pPr>
        <w:ind w:left="-432" w:hanging="144"/>
        <w:rPr>
          <w:rFonts w:cstheme="minorHAnsi"/>
          <w:sz w:val="18"/>
          <w:szCs w:val="18"/>
          <w:vertAlign w:val="superscript"/>
        </w:rPr>
      </w:pPr>
      <w:r w:rsidRPr="00050715">
        <w:rPr>
          <w:vertAlign w:val="superscript"/>
        </w:rPr>
        <w:t>†</w:t>
      </w:r>
      <w:r w:rsidR="00FD03E3" w:rsidRPr="00FD03E3">
        <w:rPr>
          <w:rFonts w:cstheme="minorHAnsi"/>
          <w:sz w:val="18"/>
          <w:szCs w:val="18"/>
        </w:rPr>
        <w:t>If AST and ALT are less than or equal to ULN at baseline in patients with liver involvement, withhold or permanently</w:t>
      </w:r>
      <w:r>
        <w:rPr>
          <w:rFonts w:cstheme="minorHAnsi"/>
          <w:sz w:val="18"/>
          <w:szCs w:val="18"/>
        </w:rPr>
        <w:t xml:space="preserve"> </w:t>
      </w:r>
      <w:r w:rsidR="00FD03E3" w:rsidRPr="00FD03E3">
        <w:rPr>
          <w:rFonts w:cstheme="minorHAnsi"/>
          <w:sz w:val="18"/>
          <w:szCs w:val="18"/>
        </w:rPr>
        <w:t>discontinue IMFINZI based on recommendations for hepatitis with no liver involvement.</w:t>
      </w:r>
      <w:r w:rsidR="00FC4276">
        <w:rPr>
          <w:rFonts w:cstheme="minorHAnsi"/>
          <w:sz w:val="18"/>
          <w:szCs w:val="18"/>
          <w:vertAlign w:val="superscript"/>
        </w:rPr>
        <w:t>1</w:t>
      </w:r>
    </w:p>
    <w:p w14:paraId="76F345B7" w14:textId="77777777" w:rsidR="009C538E" w:rsidRDefault="009C538E" w:rsidP="00A00B50">
      <w:pPr>
        <w:ind w:left="-432"/>
        <w:rPr>
          <w:sz w:val="20"/>
          <w:szCs w:val="20"/>
        </w:rPr>
      </w:pPr>
    </w:p>
    <w:p w14:paraId="6D793A97" w14:textId="5EC998AE" w:rsidR="009C538E" w:rsidRPr="00761D56" w:rsidRDefault="009C538E" w:rsidP="00A00B50">
      <w:pPr>
        <w:ind w:left="-576"/>
        <w:rPr>
          <w:sz w:val="20"/>
          <w:szCs w:val="20"/>
        </w:rPr>
      </w:pPr>
      <w:r w:rsidRPr="00761D56">
        <w:rPr>
          <w:sz w:val="20"/>
          <w:szCs w:val="20"/>
        </w:rPr>
        <w:t xml:space="preserve">DRESS=Drug Rash with Eosinophilia and Systemic Symptoms; SJS=Steven Johnson Syndrome; TEN=toxic epidermal necrolysis. </w:t>
      </w:r>
    </w:p>
    <w:p w14:paraId="2D1082DE" w14:textId="77777777" w:rsidR="009C538E" w:rsidRPr="00050715" w:rsidRDefault="009C538E" w:rsidP="001635FF">
      <w:pPr>
        <w:rPr>
          <w:sz w:val="18"/>
          <w:szCs w:val="18"/>
          <w:vertAlign w:val="superscript"/>
        </w:rPr>
      </w:pPr>
    </w:p>
    <w:p w14:paraId="11F16957" w14:textId="77777777" w:rsidR="00761D56" w:rsidRDefault="00761D56" w:rsidP="003F5A1B">
      <w:pPr>
        <w:rPr>
          <w:b/>
          <w:bCs/>
        </w:rPr>
      </w:pPr>
    </w:p>
    <w:p w14:paraId="6DFB0C20" w14:textId="77777777" w:rsidR="00761D56" w:rsidRDefault="00761D56" w:rsidP="003F5A1B">
      <w:pPr>
        <w:rPr>
          <w:b/>
          <w:bCs/>
        </w:rPr>
      </w:pPr>
    </w:p>
    <w:tbl>
      <w:tblPr>
        <w:tblStyle w:val="TableGrid"/>
        <w:tblW w:w="10800" w:type="dxa"/>
        <w:tblInd w:w="-635" w:type="dxa"/>
        <w:tblLook w:val="04A0" w:firstRow="1" w:lastRow="0" w:firstColumn="1" w:lastColumn="0" w:noHBand="0" w:noVBand="1"/>
      </w:tblPr>
      <w:tblGrid>
        <w:gridCol w:w="2610"/>
        <w:gridCol w:w="8190"/>
      </w:tblGrid>
      <w:tr w:rsidR="00761D56" w:rsidRPr="003130FE" w14:paraId="78BFEE66" w14:textId="77777777" w:rsidTr="00A00B50">
        <w:trPr>
          <w:trHeight w:val="440"/>
        </w:trPr>
        <w:tc>
          <w:tcPr>
            <w:tcW w:w="10800" w:type="dxa"/>
            <w:gridSpan w:val="2"/>
            <w:shd w:val="clear" w:color="auto" w:fill="BFBFBF" w:themeFill="background1" w:themeFillShade="BF"/>
          </w:tcPr>
          <w:p w14:paraId="09540E94" w14:textId="34CBF181" w:rsidR="00761D56" w:rsidRPr="003130FE" w:rsidRDefault="00761D56">
            <w:pPr>
              <w:rPr>
                <w:b/>
                <w:bCs/>
              </w:rPr>
            </w:pPr>
            <w:r>
              <w:rPr>
                <w:b/>
                <w:bCs/>
              </w:rPr>
              <w:t>Pre</w:t>
            </w:r>
            <w:r w:rsidR="0059098F">
              <w:rPr>
                <w:b/>
                <w:bCs/>
              </w:rPr>
              <w:t>h</w:t>
            </w:r>
            <w:r>
              <w:rPr>
                <w:b/>
                <w:bCs/>
              </w:rPr>
              <w:t>ydration and Pre</w:t>
            </w:r>
            <w:r w:rsidR="0059098F">
              <w:rPr>
                <w:b/>
                <w:bCs/>
              </w:rPr>
              <w:t>m</w:t>
            </w:r>
            <w:r>
              <w:rPr>
                <w:b/>
                <w:bCs/>
              </w:rPr>
              <w:t>edications</w:t>
            </w:r>
          </w:p>
        </w:tc>
      </w:tr>
      <w:tr w:rsidR="00761D56" w:rsidRPr="00CB15F4" w14:paraId="3A26B4A5" w14:textId="77777777" w:rsidTr="00A00B50">
        <w:trPr>
          <w:trHeight w:val="701"/>
        </w:trPr>
        <w:tc>
          <w:tcPr>
            <w:tcW w:w="2610" w:type="dxa"/>
          </w:tcPr>
          <w:p w14:paraId="7629A674" w14:textId="0F976721" w:rsidR="00761D56" w:rsidRPr="003130FE" w:rsidRDefault="00761D56">
            <w:r>
              <w:t>Pre</w:t>
            </w:r>
            <w:r w:rsidR="0059098F">
              <w:t>h</w:t>
            </w:r>
            <w:r>
              <w:t>ydration</w:t>
            </w:r>
          </w:p>
        </w:tc>
        <w:tc>
          <w:tcPr>
            <w:tcW w:w="8190" w:type="dxa"/>
          </w:tcPr>
          <w:p w14:paraId="36E3A375" w14:textId="77777777" w:rsidR="00761D56" w:rsidRPr="00CB15F4" w:rsidRDefault="00761D56">
            <w:pPr>
              <w:rPr>
                <w:color w:val="000000" w:themeColor="text1"/>
              </w:rPr>
            </w:pPr>
            <w:r w:rsidRPr="00353792">
              <w:rPr>
                <w:b/>
                <w:bCs/>
                <w:color w:val="000000" w:themeColor="text1"/>
              </w:rPr>
              <w:t>For Durvalumab:</w:t>
            </w:r>
            <w:r w:rsidRPr="00CB15F4">
              <w:rPr>
                <w:color w:val="000000" w:themeColor="text1"/>
              </w:rPr>
              <w:t xml:space="preserve"> Per institution-preferred protocol</w:t>
            </w:r>
          </w:p>
          <w:p w14:paraId="560287F5" w14:textId="77777777" w:rsidR="00761D56" w:rsidRPr="00CB15F4" w:rsidRDefault="00761D56">
            <w:pPr>
              <w:rPr>
                <w:color w:val="000000" w:themeColor="text1"/>
              </w:rPr>
            </w:pPr>
            <w:r w:rsidRPr="00353792">
              <w:rPr>
                <w:b/>
                <w:bCs/>
                <w:color w:val="000000" w:themeColor="text1"/>
              </w:rPr>
              <w:t>For Chemotherapy:</w:t>
            </w:r>
            <w:r w:rsidRPr="00CB15F4">
              <w:rPr>
                <w:color w:val="000000" w:themeColor="text1"/>
              </w:rPr>
              <w:t xml:space="preserve"> Per institution-preferred protocol</w:t>
            </w:r>
          </w:p>
        </w:tc>
      </w:tr>
      <w:tr w:rsidR="00761D56" w:rsidRPr="00CB15F4" w14:paraId="5B83E92E" w14:textId="77777777" w:rsidTr="00A00B50">
        <w:trPr>
          <w:trHeight w:val="620"/>
        </w:trPr>
        <w:tc>
          <w:tcPr>
            <w:tcW w:w="2610" w:type="dxa"/>
          </w:tcPr>
          <w:p w14:paraId="79ECF455" w14:textId="6C01E1A2" w:rsidR="00761D56" w:rsidRPr="003130FE" w:rsidRDefault="00761D56">
            <w:r>
              <w:t>Pre</w:t>
            </w:r>
            <w:r w:rsidR="0059098F">
              <w:t>m</w:t>
            </w:r>
            <w:r>
              <w:t>edications</w:t>
            </w:r>
          </w:p>
        </w:tc>
        <w:tc>
          <w:tcPr>
            <w:tcW w:w="8190" w:type="dxa"/>
          </w:tcPr>
          <w:p w14:paraId="12664B48" w14:textId="77777777" w:rsidR="00761D56" w:rsidRPr="00CB15F4" w:rsidRDefault="00761D56">
            <w:pPr>
              <w:rPr>
                <w:color w:val="000000" w:themeColor="text1"/>
              </w:rPr>
            </w:pPr>
            <w:r w:rsidRPr="00353792">
              <w:rPr>
                <w:b/>
                <w:bCs/>
                <w:color w:val="000000" w:themeColor="text1"/>
              </w:rPr>
              <w:t>For Durvalumab:</w:t>
            </w:r>
            <w:r w:rsidRPr="00CB15F4">
              <w:rPr>
                <w:color w:val="000000" w:themeColor="text1"/>
              </w:rPr>
              <w:t xml:space="preserve"> Per institution-preferred protocol</w:t>
            </w:r>
          </w:p>
          <w:p w14:paraId="7962B9EE" w14:textId="77777777" w:rsidR="00761D56" w:rsidRPr="00CB15F4" w:rsidRDefault="00761D56">
            <w:pPr>
              <w:rPr>
                <w:b/>
                <w:bCs/>
                <w:color w:val="000000" w:themeColor="text1"/>
              </w:rPr>
            </w:pPr>
            <w:r w:rsidRPr="00353792">
              <w:rPr>
                <w:b/>
                <w:bCs/>
                <w:color w:val="000000" w:themeColor="text1"/>
              </w:rPr>
              <w:t>For Chemotherapy:</w:t>
            </w:r>
            <w:r w:rsidRPr="00CB15F4">
              <w:rPr>
                <w:color w:val="000000" w:themeColor="text1"/>
              </w:rPr>
              <w:t xml:space="preserve"> Per institution-preferred protocol</w:t>
            </w:r>
          </w:p>
        </w:tc>
      </w:tr>
    </w:tbl>
    <w:p w14:paraId="50905E2F" w14:textId="77777777" w:rsidR="00FC4D12" w:rsidRDefault="00FC4D12" w:rsidP="003F5A1B">
      <w:pPr>
        <w:rPr>
          <w:b/>
          <w:bCs/>
        </w:rPr>
      </w:pPr>
    </w:p>
    <w:p w14:paraId="61509868" w14:textId="77777777" w:rsidR="00A7082D" w:rsidRDefault="00A7082D" w:rsidP="003F5A1B">
      <w:pPr>
        <w:rPr>
          <w:b/>
          <w:bCs/>
        </w:rPr>
      </w:pPr>
    </w:p>
    <w:p w14:paraId="7F88F860" w14:textId="77777777" w:rsidR="00A7082D" w:rsidRDefault="00A7082D" w:rsidP="003F5A1B">
      <w:pPr>
        <w:rPr>
          <w:b/>
          <w:bCs/>
        </w:rPr>
      </w:pPr>
    </w:p>
    <w:p w14:paraId="4E62FF7F" w14:textId="77777777" w:rsidR="00A7082D" w:rsidRDefault="00A7082D" w:rsidP="003F5A1B">
      <w:pPr>
        <w:rPr>
          <w:b/>
          <w:bCs/>
        </w:rPr>
      </w:pPr>
    </w:p>
    <w:p w14:paraId="12ABEDB2" w14:textId="77777777" w:rsidR="00A7082D" w:rsidRDefault="00A7082D" w:rsidP="003F5A1B">
      <w:pPr>
        <w:rPr>
          <w:b/>
          <w:bCs/>
        </w:rPr>
      </w:pPr>
    </w:p>
    <w:p w14:paraId="3C2B7984" w14:textId="77777777" w:rsidR="00A7082D" w:rsidRDefault="00A7082D" w:rsidP="003F5A1B">
      <w:pPr>
        <w:rPr>
          <w:b/>
          <w:bCs/>
        </w:rPr>
      </w:pPr>
    </w:p>
    <w:p w14:paraId="6A79E5E4" w14:textId="77777777" w:rsidR="00A7082D" w:rsidRDefault="00A7082D" w:rsidP="003F5A1B">
      <w:pPr>
        <w:rPr>
          <w:b/>
          <w:bCs/>
        </w:rPr>
      </w:pPr>
    </w:p>
    <w:p w14:paraId="6C924502" w14:textId="77777777" w:rsidR="00A7082D" w:rsidRDefault="00A7082D" w:rsidP="003F5A1B">
      <w:pPr>
        <w:rPr>
          <w:b/>
          <w:bCs/>
        </w:rPr>
      </w:pPr>
    </w:p>
    <w:p w14:paraId="1EDCC7CC" w14:textId="77777777" w:rsidR="00A7082D" w:rsidRDefault="00A7082D" w:rsidP="003F5A1B">
      <w:pPr>
        <w:rPr>
          <w:b/>
          <w:bCs/>
        </w:rPr>
      </w:pPr>
    </w:p>
    <w:p w14:paraId="1B312716" w14:textId="77777777" w:rsidR="00A7082D" w:rsidRDefault="00A7082D" w:rsidP="003F5A1B">
      <w:pPr>
        <w:rPr>
          <w:b/>
          <w:bCs/>
        </w:rPr>
      </w:pPr>
    </w:p>
    <w:p w14:paraId="0EEB4F96" w14:textId="77777777" w:rsidR="00A7082D" w:rsidRDefault="00A7082D" w:rsidP="003F5A1B">
      <w:pPr>
        <w:rPr>
          <w:b/>
          <w:bCs/>
        </w:rPr>
      </w:pPr>
    </w:p>
    <w:p w14:paraId="0ED591A0" w14:textId="77777777" w:rsidR="00A7082D" w:rsidRDefault="00A7082D" w:rsidP="003F5A1B">
      <w:pPr>
        <w:rPr>
          <w:b/>
          <w:bCs/>
        </w:rPr>
      </w:pPr>
    </w:p>
    <w:tbl>
      <w:tblPr>
        <w:tblStyle w:val="TableGrid"/>
        <w:tblW w:w="10890" w:type="dxa"/>
        <w:tblInd w:w="-635" w:type="dxa"/>
        <w:tblLook w:val="04A0" w:firstRow="1" w:lastRow="0" w:firstColumn="1" w:lastColumn="0" w:noHBand="0" w:noVBand="1"/>
      </w:tblPr>
      <w:tblGrid>
        <w:gridCol w:w="5607"/>
        <w:gridCol w:w="5283"/>
      </w:tblGrid>
      <w:tr w:rsidR="001339B9" w14:paraId="093E608F" w14:textId="77777777" w:rsidTr="00A00B50">
        <w:trPr>
          <w:trHeight w:val="395"/>
        </w:trPr>
        <w:tc>
          <w:tcPr>
            <w:tcW w:w="10890" w:type="dxa"/>
            <w:gridSpan w:val="2"/>
            <w:shd w:val="clear" w:color="auto" w:fill="BFBFBF" w:themeFill="background1" w:themeFillShade="BF"/>
          </w:tcPr>
          <w:p w14:paraId="6E493335" w14:textId="456BB6BC" w:rsidR="001339B9" w:rsidRPr="001339B9" w:rsidRDefault="001339B9" w:rsidP="003F5A1B">
            <w:pPr>
              <w:rPr>
                <w:b/>
                <w:bCs/>
              </w:rPr>
            </w:pPr>
            <w:r>
              <w:rPr>
                <w:b/>
                <w:bCs/>
              </w:rPr>
              <w:lastRenderedPageBreak/>
              <w:t>Chemotherapy Orders</w:t>
            </w:r>
            <w:r w:rsidR="00C615BD" w:rsidRPr="00C615BD">
              <w:rPr>
                <w:b/>
                <w:bCs/>
                <w:vertAlign w:val="superscript"/>
              </w:rPr>
              <w:t>1</w:t>
            </w:r>
          </w:p>
        </w:tc>
      </w:tr>
      <w:tr w:rsidR="001339B9" w14:paraId="7AD80D33" w14:textId="77777777" w:rsidTr="00A00B50">
        <w:trPr>
          <w:trHeight w:val="359"/>
        </w:trPr>
        <w:tc>
          <w:tcPr>
            <w:tcW w:w="10890" w:type="dxa"/>
            <w:gridSpan w:val="2"/>
            <w:shd w:val="clear" w:color="auto" w:fill="F2F2F2" w:themeFill="background1" w:themeFillShade="F2"/>
          </w:tcPr>
          <w:p w14:paraId="755C8E9D" w14:textId="56F18136" w:rsidR="001339B9" w:rsidRPr="001635FF" w:rsidRDefault="001339B9" w:rsidP="003F5A1B">
            <w:r w:rsidRPr="001339B9">
              <w:t>Cycle 1-4</w:t>
            </w:r>
            <w:r w:rsidR="001635FF">
              <w:t xml:space="preserve">; </w:t>
            </w:r>
            <w:r w:rsidR="00761D56">
              <w:t>c</w:t>
            </w:r>
            <w:r w:rsidRPr="001339B9">
              <w:t>ycle length=3 weeks</w:t>
            </w:r>
          </w:p>
        </w:tc>
      </w:tr>
      <w:tr w:rsidR="001339B9" w14:paraId="3502B429" w14:textId="77777777" w:rsidTr="00A7082D">
        <w:trPr>
          <w:trHeight w:val="4445"/>
        </w:trPr>
        <w:tc>
          <w:tcPr>
            <w:tcW w:w="5607" w:type="dxa"/>
            <w:tcBorders>
              <w:bottom w:val="single" w:sz="4" w:space="0" w:color="auto"/>
            </w:tcBorders>
          </w:tcPr>
          <w:p w14:paraId="41AE4DD2" w14:textId="41D1853F" w:rsidR="000719E0" w:rsidRDefault="000719E0" w:rsidP="003F5A1B">
            <w:r>
              <w:rPr>
                <w:b/>
                <w:bCs/>
              </w:rPr>
              <w:t>For patients with a body weight of ≥30 kg:</w:t>
            </w:r>
          </w:p>
          <w:p w14:paraId="79EC9071" w14:textId="483EBEA7" w:rsidR="001339B9" w:rsidRDefault="00DF16E8" w:rsidP="003F5A1B">
            <w:r>
              <w:t xml:space="preserve">Neoadjuvant: </w:t>
            </w:r>
            <w:r w:rsidR="001339B9" w:rsidRPr="001339B9">
              <w:t>Durvalumab 1500 mg in combination with chemotherapy*</w:t>
            </w:r>
            <w:r w:rsidR="0059098F">
              <w:t xml:space="preserve"> Q3W</w:t>
            </w:r>
            <w:r w:rsidR="001339B9" w:rsidRPr="001339B9">
              <w:t xml:space="preserve"> for up to 4 cycles prior to surgery</w:t>
            </w:r>
          </w:p>
          <w:p w14:paraId="38F60158" w14:textId="77777777" w:rsidR="000719E0" w:rsidRDefault="000719E0" w:rsidP="000719E0">
            <w:pPr>
              <w:rPr>
                <w:color w:val="FA00FF"/>
              </w:rPr>
            </w:pPr>
          </w:p>
          <w:p w14:paraId="2407B3A5" w14:textId="77777777" w:rsidR="000719E0" w:rsidRDefault="000719E0" w:rsidP="000719E0">
            <w:pPr>
              <w:rPr>
                <w:color w:val="FA00FF"/>
              </w:rPr>
            </w:pPr>
          </w:p>
          <w:p w14:paraId="426C02AF" w14:textId="22D56BDA" w:rsidR="000719E0" w:rsidRPr="000719E0" w:rsidRDefault="000719E0" w:rsidP="000719E0">
            <w:pPr>
              <w:rPr>
                <w:b/>
                <w:bCs/>
              </w:rPr>
            </w:pPr>
            <w:r>
              <w:rPr>
                <w:b/>
                <w:bCs/>
              </w:rPr>
              <w:t>For patients with a body weight of &lt;30 kg:</w:t>
            </w:r>
          </w:p>
          <w:p w14:paraId="4C0DFD76" w14:textId="7710767C" w:rsidR="000719E0" w:rsidRPr="001339B9" w:rsidRDefault="00DF16E8" w:rsidP="000719E0">
            <w:pPr>
              <w:rPr>
                <w:color w:val="FA00FF"/>
              </w:rPr>
            </w:pPr>
            <w:r>
              <w:t xml:space="preserve">Neoadjuvant: </w:t>
            </w:r>
            <w:r w:rsidR="000719E0" w:rsidRPr="001339B9">
              <w:t xml:space="preserve">Durvalumab </w:t>
            </w:r>
            <w:r w:rsidR="000719E0">
              <w:t>2</w:t>
            </w:r>
            <w:r w:rsidR="000719E0" w:rsidRPr="001339B9">
              <w:t>0 mg</w:t>
            </w:r>
            <w:r w:rsidR="000719E0">
              <w:t>/kg</w:t>
            </w:r>
            <w:r w:rsidR="000719E0" w:rsidRPr="001339B9">
              <w:t xml:space="preserve"> </w:t>
            </w:r>
            <w:r w:rsidR="0059098F">
              <w:t>Q3W</w:t>
            </w:r>
            <w:r w:rsidR="00CB15F4">
              <w:t xml:space="preserve"> </w:t>
            </w:r>
            <w:r w:rsidR="000719E0" w:rsidRPr="001339B9">
              <w:t>in combination with chemotherapy</w:t>
            </w:r>
            <w:r w:rsidR="000719E0">
              <w:t xml:space="preserve"> </w:t>
            </w:r>
            <w:r w:rsidR="00323134">
              <w:t xml:space="preserve">for up to 4 cycles </w:t>
            </w:r>
            <w:r w:rsidR="000719E0" w:rsidRPr="001339B9">
              <w:t>prior to surgery</w:t>
            </w:r>
          </w:p>
          <w:p w14:paraId="4D7F5A95" w14:textId="34A61B0D" w:rsidR="000719E0" w:rsidRPr="001339B9" w:rsidRDefault="000719E0" w:rsidP="003F5A1B"/>
        </w:tc>
        <w:tc>
          <w:tcPr>
            <w:tcW w:w="5283" w:type="dxa"/>
            <w:tcBorders>
              <w:bottom w:val="single" w:sz="4" w:space="0" w:color="auto"/>
            </w:tcBorders>
          </w:tcPr>
          <w:p w14:paraId="0E8DC3E8" w14:textId="315407BD" w:rsidR="001339B9" w:rsidRPr="00207C0D" w:rsidRDefault="001339B9" w:rsidP="001339B9">
            <w:pPr>
              <w:rPr>
                <w:color w:val="000000" w:themeColor="text1"/>
              </w:rPr>
            </w:pPr>
            <w:r w:rsidRPr="001635FF">
              <w:rPr>
                <w:b/>
                <w:bCs/>
                <w:color w:val="000000" w:themeColor="text1"/>
              </w:rPr>
              <w:t>Durvalumab:</w:t>
            </w:r>
            <w:r w:rsidRPr="00207C0D">
              <w:rPr>
                <w:color w:val="000000" w:themeColor="text1"/>
              </w:rPr>
              <w:t xml:space="preserve"> Dilute to final concentration 1 mg/mL to 15 mg/mL with 0.9% sodium chloride injection, USP or 5% dextrose injection, USP and administer over 60 minutes. Use sterile, low protein binding 0.2 or 0.22 micron in-line filter. Administer infusion solution immediately once prepared. The total time from vial </w:t>
            </w:r>
            <w:r w:rsidR="00207C0D" w:rsidRPr="00207C0D">
              <w:rPr>
                <w:color w:val="000000" w:themeColor="text1"/>
              </w:rPr>
              <w:t>preparation</w:t>
            </w:r>
            <w:r w:rsidRPr="00207C0D">
              <w:rPr>
                <w:color w:val="000000" w:themeColor="text1"/>
              </w:rPr>
              <w:t xml:space="preserve"> to the </w:t>
            </w:r>
            <w:r w:rsidR="00207C0D" w:rsidRPr="00207C0D">
              <w:rPr>
                <w:color w:val="000000" w:themeColor="text1"/>
              </w:rPr>
              <w:t>completion of infusion</w:t>
            </w:r>
            <w:r w:rsidRPr="00207C0D">
              <w:rPr>
                <w:color w:val="000000" w:themeColor="text1"/>
              </w:rPr>
              <w:t xml:space="preserve"> should not exceed 2</w:t>
            </w:r>
            <w:r w:rsidR="00207C0D" w:rsidRPr="00207C0D">
              <w:rPr>
                <w:color w:val="000000" w:themeColor="text1"/>
              </w:rPr>
              <w:t>8 days in a</w:t>
            </w:r>
            <w:r w:rsidRPr="00207C0D">
              <w:rPr>
                <w:color w:val="000000" w:themeColor="text1"/>
              </w:rPr>
              <w:t xml:space="preserve"> refrigerat</w:t>
            </w:r>
            <w:r w:rsidR="00207C0D" w:rsidRPr="00207C0D">
              <w:rPr>
                <w:color w:val="000000" w:themeColor="text1"/>
              </w:rPr>
              <w:t>or</w:t>
            </w:r>
            <w:r w:rsidRPr="00207C0D">
              <w:rPr>
                <w:color w:val="000000" w:themeColor="text1"/>
              </w:rPr>
              <w:t xml:space="preserve"> (2</w:t>
            </w:r>
            <w:r w:rsidR="00761D56">
              <w:rPr>
                <w:color w:val="000000" w:themeColor="text1"/>
              </w:rPr>
              <w:t xml:space="preserve"> </w:t>
            </w:r>
            <w:r w:rsidRPr="00207C0D">
              <w:rPr>
                <w:color w:val="000000" w:themeColor="text1"/>
              </w:rPr>
              <w:t>°C to 8</w:t>
            </w:r>
            <w:r w:rsidR="00761D56">
              <w:rPr>
                <w:color w:val="000000" w:themeColor="text1"/>
              </w:rPr>
              <w:t xml:space="preserve"> </w:t>
            </w:r>
            <w:r w:rsidRPr="00207C0D">
              <w:rPr>
                <w:color w:val="000000" w:themeColor="text1"/>
              </w:rPr>
              <w:t>°C) or 8 h</w:t>
            </w:r>
            <w:r w:rsidR="00207C0D" w:rsidRPr="00207C0D">
              <w:rPr>
                <w:color w:val="000000" w:themeColor="text1"/>
              </w:rPr>
              <w:t>ours</w:t>
            </w:r>
            <w:r w:rsidRPr="00207C0D">
              <w:rPr>
                <w:color w:val="000000" w:themeColor="text1"/>
              </w:rPr>
              <w:t xml:space="preserve"> at room temperature (up to 25</w:t>
            </w:r>
            <w:r w:rsidR="00761D56">
              <w:rPr>
                <w:color w:val="000000" w:themeColor="text1"/>
              </w:rPr>
              <w:t xml:space="preserve"> </w:t>
            </w:r>
            <w:r w:rsidRPr="00207C0D">
              <w:rPr>
                <w:color w:val="000000" w:themeColor="text1"/>
              </w:rPr>
              <w:t>°C). Discard partially used or empty vials of IMFINZI. Do not co-administer other drugs through the same infusion line.</w:t>
            </w:r>
          </w:p>
          <w:p w14:paraId="29C2E61D" w14:textId="0543AEEB" w:rsidR="000719E0" w:rsidRPr="001635FF" w:rsidRDefault="001339B9" w:rsidP="001339B9">
            <w:pPr>
              <w:rPr>
                <w:color w:val="000000" w:themeColor="text1"/>
              </w:rPr>
            </w:pPr>
            <w:r w:rsidRPr="001635FF">
              <w:rPr>
                <w:b/>
                <w:bCs/>
                <w:color w:val="000000" w:themeColor="text1"/>
              </w:rPr>
              <w:t>Chemotherapy:</w:t>
            </w:r>
            <w:r w:rsidRPr="00207C0D">
              <w:rPr>
                <w:color w:val="000000" w:themeColor="text1"/>
              </w:rPr>
              <w:t xml:space="preserve"> </w:t>
            </w:r>
            <w:r w:rsidR="0022413D">
              <w:rPr>
                <w:color w:val="000000" w:themeColor="text1"/>
              </w:rPr>
              <w:t>A</w:t>
            </w:r>
            <w:r w:rsidRPr="00207C0D">
              <w:rPr>
                <w:color w:val="000000" w:themeColor="text1"/>
              </w:rPr>
              <w:t>dminister per institution-preferred protocol following administration of durvalumab.</w:t>
            </w:r>
          </w:p>
        </w:tc>
      </w:tr>
      <w:tr w:rsidR="001339B9" w14:paraId="7B0EEC6C" w14:textId="77777777" w:rsidTr="00A00B50">
        <w:trPr>
          <w:trHeight w:val="602"/>
        </w:trPr>
        <w:tc>
          <w:tcPr>
            <w:tcW w:w="10890" w:type="dxa"/>
            <w:gridSpan w:val="2"/>
            <w:shd w:val="clear" w:color="auto" w:fill="F2F2F2" w:themeFill="background1" w:themeFillShade="F2"/>
          </w:tcPr>
          <w:p w14:paraId="2DCF0C12" w14:textId="6B63ECD7" w:rsidR="001339B9" w:rsidRPr="001635FF" w:rsidRDefault="001339B9" w:rsidP="003F5A1B">
            <w:r w:rsidRPr="001339B9">
              <w:t>Cycle 5 and beyond (until disease progression prior to surgery, recurrence, unacceptable toxicity, or a maximum of 12 cycles after surgery)</w:t>
            </w:r>
            <w:r w:rsidR="001635FF">
              <w:t xml:space="preserve">; </w:t>
            </w:r>
            <w:r w:rsidR="00761D56">
              <w:t>c</w:t>
            </w:r>
            <w:r w:rsidRPr="001339B9">
              <w:t>ycle length=4 weeks</w:t>
            </w:r>
          </w:p>
        </w:tc>
      </w:tr>
      <w:tr w:rsidR="001339B9" w14:paraId="290F7872" w14:textId="77777777" w:rsidTr="00A7082D">
        <w:trPr>
          <w:trHeight w:val="3185"/>
        </w:trPr>
        <w:tc>
          <w:tcPr>
            <w:tcW w:w="5607" w:type="dxa"/>
            <w:tcBorders>
              <w:bottom w:val="single" w:sz="4" w:space="0" w:color="auto"/>
            </w:tcBorders>
          </w:tcPr>
          <w:p w14:paraId="005C458B" w14:textId="242E0929" w:rsidR="001339B9" w:rsidRDefault="000719E0" w:rsidP="003F5A1B">
            <w:r>
              <w:rPr>
                <w:b/>
                <w:bCs/>
              </w:rPr>
              <w:t>For patients with a body weight of ≥30 kg:</w:t>
            </w:r>
            <w:r w:rsidR="005241F7">
              <w:rPr>
                <w:b/>
                <w:bCs/>
              </w:rPr>
              <w:br/>
            </w:r>
            <w:r w:rsidR="005241F7" w:rsidRPr="005241F7">
              <w:t>Adjuvant:</w:t>
            </w:r>
            <w:r w:rsidR="005241F7">
              <w:rPr>
                <w:b/>
                <w:bCs/>
              </w:rPr>
              <w:t xml:space="preserve"> </w:t>
            </w:r>
            <w:r w:rsidR="001339B9" w:rsidRPr="001339B9">
              <w:t xml:space="preserve">Durvalumab 1500 mg as a single agent </w:t>
            </w:r>
            <w:r w:rsidR="0059098F">
              <w:t>Q4W</w:t>
            </w:r>
            <w:r w:rsidR="001339B9" w:rsidRPr="001339B9">
              <w:t xml:space="preserve"> for up to 12 cycles after surgery</w:t>
            </w:r>
          </w:p>
          <w:p w14:paraId="50AE1292" w14:textId="77777777" w:rsidR="000719E0" w:rsidRDefault="000719E0" w:rsidP="003F5A1B"/>
          <w:p w14:paraId="5E5D144A" w14:textId="77777777" w:rsidR="000719E0" w:rsidRDefault="000719E0" w:rsidP="003F5A1B">
            <w:pPr>
              <w:rPr>
                <w:b/>
                <w:bCs/>
              </w:rPr>
            </w:pPr>
            <w:r>
              <w:rPr>
                <w:b/>
                <w:bCs/>
              </w:rPr>
              <w:t>For patients with a body weight of &lt;30 kg:</w:t>
            </w:r>
          </w:p>
          <w:p w14:paraId="33E03B77" w14:textId="704284AD" w:rsidR="000719E0" w:rsidRDefault="005241F7" w:rsidP="000719E0">
            <w:r w:rsidRPr="005241F7">
              <w:t>Adjuvant:</w:t>
            </w:r>
            <w:r>
              <w:rPr>
                <w:b/>
                <w:bCs/>
              </w:rPr>
              <w:t xml:space="preserve"> </w:t>
            </w:r>
            <w:r w:rsidR="000719E0" w:rsidRPr="001339B9">
              <w:t xml:space="preserve">Durvalumab </w:t>
            </w:r>
            <w:r w:rsidR="000719E0">
              <w:t>2</w:t>
            </w:r>
            <w:r w:rsidR="000719E0" w:rsidRPr="001339B9">
              <w:t>0 mg</w:t>
            </w:r>
            <w:r w:rsidR="000719E0">
              <w:t>/kg</w:t>
            </w:r>
            <w:r w:rsidR="000719E0" w:rsidRPr="001339B9">
              <w:t xml:space="preserve"> </w:t>
            </w:r>
            <w:r w:rsidR="0059098F">
              <w:t>Q4W</w:t>
            </w:r>
            <w:r w:rsidR="000719E0" w:rsidRPr="001339B9">
              <w:t xml:space="preserve"> as a single agent</w:t>
            </w:r>
            <w:r w:rsidR="000719E0">
              <w:t xml:space="preserve"> </w:t>
            </w:r>
            <w:r w:rsidR="00A2723F">
              <w:t xml:space="preserve">up to 12 cycles </w:t>
            </w:r>
            <w:r w:rsidR="000719E0">
              <w:t xml:space="preserve">after surgery </w:t>
            </w:r>
          </w:p>
          <w:p w14:paraId="0690DBEE" w14:textId="1C02E103" w:rsidR="000719E0" w:rsidRPr="001339B9" w:rsidRDefault="000719E0" w:rsidP="003F5A1B"/>
        </w:tc>
        <w:tc>
          <w:tcPr>
            <w:tcW w:w="5283" w:type="dxa"/>
            <w:tcBorders>
              <w:bottom w:val="single" w:sz="4" w:space="0" w:color="auto"/>
            </w:tcBorders>
          </w:tcPr>
          <w:p w14:paraId="7E51F420" w14:textId="5EFD0365" w:rsidR="001339B9" w:rsidRPr="00207C0D" w:rsidRDefault="00207C0D" w:rsidP="003F5A1B">
            <w:pPr>
              <w:rPr>
                <w:color w:val="000000" w:themeColor="text1"/>
              </w:rPr>
            </w:pPr>
            <w:r w:rsidRPr="001635FF">
              <w:rPr>
                <w:b/>
                <w:bCs/>
                <w:color w:val="000000" w:themeColor="text1"/>
              </w:rPr>
              <w:t>Durvalumab:</w:t>
            </w:r>
            <w:r w:rsidRPr="00207C0D">
              <w:rPr>
                <w:color w:val="000000" w:themeColor="text1"/>
              </w:rPr>
              <w:t xml:space="preserve"> Dilute to final concentration 1 mg/mL to 15 mg/mL with 0.9% sodium chloride injection, USP or 5% dextrose injection, USP and administer over 60 minutes. Use sterile, low protein binding 0.2 or 0.22 micron in-line filter. Administer infusion solution immediately once prepared. The total time from vial preparation to the completion of infusion should not exceed 28 days in a refrigerator (2</w:t>
            </w:r>
            <w:r w:rsidR="00761D56">
              <w:rPr>
                <w:color w:val="000000" w:themeColor="text1"/>
              </w:rPr>
              <w:t xml:space="preserve"> </w:t>
            </w:r>
            <w:r w:rsidRPr="00207C0D">
              <w:rPr>
                <w:color w:val="000000" w:themeColor="text1"/>
              </w:rPr>
              <w:t>°C to 8</w:t>
            </w:r>
            <w:r w:rsidR="00761D56">
              <w:rPr>
                <w:color w:val="000000" w:themeColor="text1"/>
              </w:rPr>
              <w:t xml:space="preserve"> </w:t>
            </w:r>
            <w:r w:rsidRPr="00207C0D">
              <w:rPr>
                <w:color w:val="000000" w:themeColor="text1"/>
              </w:rPr>
              <w:t>°C) or 8 hours at room temperature (up to 25</w:t>
            </w:r>
            <w:r w:rsidR="00761D56">
              <w:rPr>
                <w:color w:val="000000" w:themeColor="text1"/>
              </w:rPr>
              <w:t xml:space="preserve"> </w:t>
            </w:r>
            <w:r w:rsidRPr="00207C0D">
              <w:rPr>
                <w:color w:val="000000" w:themeColor="text1"/>
              </w:rPr>
              <w:t>°C). Discard partially used or empty vials of IMFINZI. Do not co-administer other drugs through the same infusion line.</w:t>
            </w:r>
          </w:p>
        </w:tc>
      </w:tr>
      <w:tr w:rsidR="00A7082D" w14:paraId="5D2E5E64" w14:textId="77777777" w:rsidTr="00A7082D">
        <w:trPr>
          <w:trHeight w:val="530"/>
        </w:trPr>
        <w:tc>
          <w:tcPr>
            <w:tcW w:w="10890" w:type="dxa"/>
            <w:gridSpan w:val="2"/>
            <w:shd w:val="clear" w:color="auto" w:fill="F2F2F2" w:themeFill="background1" w:themeFillShade="F2"/>
          </w:tcPr>
          <w:p w14:paraId="21553711" w14:textId="721A961E" w:rsidR="00A7082D" w:rsidRPr="001635FF" w:rsidRDefault="00F62F11" w:rsidP="00A7082D">
            <w:pPr>
              <w:rPr>
                <w:b/>
                <w:bCs/>
                <w:color w:val="000000" w:themeColor="text1"/>
              </w:rPr>
            </w:pPr>
            <w:r>
              <w:rPr>
                <w:rFonts w:cstheme="minorHAnsi"/>
                <w:b/>
                <w:bCs/>
              </w:rPr>
              <w:t>Chemotherapy</w:t>
            </w:r>
            <w:r w:rsidR="00A7082D" w:rsidRPr="00C30A22">
              <w:rPr>
                <w:rFonts w:cstheme="minorHAnsi"/>
                <w:vertAlign w:val="superscript"/>
              </w:rPr>
              <w:t>†‡</w:t>
            </w:r>
            <w:r w:rsidR="00A7082D" w:rsidRPr="00C30A22">
              <w:rPr>
                <w:rFonts w:cstheme="minorHAnsi"/>
                <w:b/>
                <w:bCs/>
              </w:rPr>
              <w:t xml:space="preserve"> by Tumor Type</w:t>
            </w:r>
            <w:r w:rsidR="00A7082D" w:rsidRPr="00670552">
              <w:rPr>
                <w:rFonts w:cstheme="minorHAnsi"/>
                <w:b/>
                <w:bCs/>
                <w:vertAlign w:val="superscript"/>
              </w:rPr>
              <w:t>2</w:t>
            </w:r>
          </w:p>
        </w:tc>
      </w:tr>
      <w:tr w:rsidR="00A7082D" w14:paraId="37967E14" w14:textId="77777777" w:rsidTr="00A7082D">
        <w:trPr>
          <w:trHeight w:val="530"/>
        </w:trPr>
        <w:tc>
          <w:tcPr>
            <w:tcW w:w="5607" w:type="dxa"/>
          </w:tcPr>
          <w:p w14:paraId="41BFEE6F" w14:textId="5F7620AD" w:rsidR="00A7082D" w:rsidRDefault="00A7082D" w:rsidP="00A7082D">
            <w:pPr>
              <w:rPr>
                <w:b/>
                <w:bCs/>
              </w:rPr>
            </w:pPr>
            <w:r w:rsidRPr="00C30A22">
              <w:rPr>
                <w:rFonts w:cstheme="minorHAnsi"/>
              </w:rPr>
              <w:t>Non-</w:t>
            </w:r>
            <w:r>
              <w:rPr>
                <w:rFonts w:cstheme="minorHAnsi"/>
              </w:rPr>
              <w:t>s</w:t>
            </w:r>
            <w:r w:rsidRPr="00C30A22">
              <w:rPr>
                <w:rFonts w:cstheme="minorHAnsi"/>
              </w:rPr>
              <w:t>quamous</w:t>
            </w:r>
          </w:p>
        </w:tc>
        <w:tc>
          <w:tcPr>
            <w:tcW w:w="5283" w:type="dxa"/>
          </w:tcPr>
          <w:p w14:paraId="0023812B" w14:textId="77777777" w:rsidR="00A7082D" w:rsidRPr="00A7082D" w:rsidRDefault="00A7082D" w:rsidP="00A7082D">
            <w:pPr>
              <w:pStyle w:val="Default"/>
              <w:numPr>
                <w:ilvl w:val="0"/>
                <w:numId w:val="4"/>
              </w:numPr>
              <w:rPr>
                <w:rFonts w:asciiTheme="minorHAnsi" w:hAnsiTheme="minorHAnsi" w:cstheme="minorHAnsi"/>
              </w:rPr>
            </w:pPr>
            <w:r w:rsidRPr="00A7082D">
              <w:rPr>
                <w:rFonts w:asciiTheme="minorHAnsi" w:hAnsiTheme="minorHAnsi" w:cstheme="minorHAnsi"/>
              </w:rPr>
              <w:t>Cisplatin/pemetrexed</w:t>
            </w:r>
            <w:r w:rsidRPr="00A7082D">
              <w:rPr>
                <w:rFonts w:asciiTheme="minorHAnsi" w:hAnsiTheme="minorHAnsi" w:cstheme="minorHAnsi"/>
                <w:color w:val="040C28"/>
                <w:vertAlign w:val="superscript"/>
              </w:rPr>
              <w:t>§¶</w:t>
            </w:r>
          </w:p>
          <w:p w14:paraId="7B2AE4BF" w14:textId="511A7C68" w:rsidR="00A7082D" w:rsidRPr="00A7082D" w:rsidRDefault="00A7082D" w:rsidP="00A7082D">
            <w:pPr>
              <w:pStyle w:val="Default"/>
              <w:numPr>
                <w:ilvl w:val="0"/>
                <w:numId w:val="4"/>
              </w:numPr>
              <w:rPr>
                <w:rFonts w:asciiTheme="minorHAnsi" w:hAnsiTheme="minorHAnsi" w:cstheme="minorHAnsi"/>
              </w:rPr>
            </w:pPr>
            <w:r w:rsidRPr="00A7082D">
              <w:rPr>
                <w:rFonts w:asciiTheme="minorHAnsi" w:hAnsiTheme="minorHAnsi" w:cstheme="minorHAnsi"/>
              </w:rPr>
              <w:t>Carboplatin/pemetrexed</w:t>
            </w:r>
            <w:r w:rsidRPr="00A7082D">
              <w:rPr>
                <w:rFonts w:asciiTheme="minorHAnsi" w:hAnsiTheme="minorHAnsi" w:cstheme="minorHAnsi"/>
                <w:color w:val="040C28"/>
                <w:vertAlign w:val="superscript"/>
              </w:rPr>
              <w:t>§</w:t>
            </w:r>
          </w:p>
        </w:tc>
      </w:tr>
      <w:tr w:rsidR="00A7082D" w14:paraId="56B74A11" w14:textId="77777777" w:rsidTr="00A7082D">
        <w:trPr>
          <w:trHeight w:val="530"/>
        </w:trPr>
        <w:tc>
          <w:tcPr>
            <w:tcW w:w="5607" w:type="dxa"/>
          </w:tcPr>
          <w:p w14:paraId="0BE2BBD5" w14:textId="30456AF7" w:rsidR="00A7082D" w:rsidRDefault="00A7082D" w:rsidP="00A7082D">
            <w:pPr>
              <w:rPr>
                <w:b/>
                <w:bCs/>
              </w:rPr>
            </w:pPr>
            <w:r w:rsidRPr="00C30A22">
              <w:rPr>
                <w:rFonts w:cstheme="minorHAnsi"/>
              </w:rPr>
              <w:t>Squamous</w:t>
            </w:r>
          </w:p>
        </w:tc>
        <w:tc>
          <w:tcPr>
            <w:tcW w:w="5283" w:type="dxa"/>
          </w:tcPr>
          <w:p w14:paraId="72254125" w14:textId="77777777" w:rsidR="00A7082D" w:rsidRPr="00A7082D" w:rsidRDefault="00A7082D" w:rsidP="00A7082D">
            <w:pPr>
              <w:pStyle w:val="Default"/>
              <w:numPr>
                <w:ilvl w:val="0"/>
                <w:numId w:val="4"/>
              </w:numPr>
              <w:rPr>
                <w:rFonts w:asciiTheme="minorHAnsi" w:hAnsiTheme="minorHAnsi" w:cstheme="minorHAnsi"/>
              </w:rPr>
            </w:pPr>
            <w:r w:rsidRPr="00A7082D">
              <w:rPr>
                <w:rFonts w:asciiTheme="minorHAnsi" w:hAnsiTheme="minorHAnsi" w:cstheme="minorHAnsi"/>
              </w:rPr>
              <w:t>Carboplatin/paclitaxel</w:t>
            </w:r>
          </w:p>
          <w:p w14:paraId="6A8D5C98" w14:textId="77777777" w:rsidR="00A7082D" w:rsidRPr="00A7082D" w:rsidRDefault="00A7082D" w:rsidP="00A7082D">
            <w:pPr>
              <w:pStyle w:val="Default"/>
              <w:numPr>
                <w:ilvl w:val="0"/>
                <w:numId w:val="4"/>
              </w:numPr>
              <w:rPr>
                <w:rFonts w:asciiTheme="minorHAnsi" w:hAnsiTheme="minorHAnsi" w:cstheme="minorHAnsi"/>
              </w:rPr>
            </w:pPr>
            <w:r w:rsidRPr="00A7082D">
              <w:rPr>
                <w:rFonts w:asciiTheme="minorHAnsi" w:hAnsiTheme="minorHAnsi" w:cstheme="minorHAnsi"/>
              </w:rPr>
              <w:t>Cisplatin/gemcitabine</w:t>
            </w:r>
            <w:r w:rsidRPr="00A7082D">
              <w:rPr>
                <w:rFonts w:asciiTheme="minorHAnsi" w:hAnsiTheme="minorHAnsi" w:cstheme="minorHAnsi"/>
                <w:color w:val="040C28"/>
                <w:vertAlign w:val="superscript"/>
              </w:rPr>
              <w:t>¶</w:t>
            </w:r>
          </w:p>
          <w:p w14:paraId="144C85D7" w14:textId="4FE3A067" w:rsidR="00A7082D" w:rsidRPr="00A7082D" w:rsidRDefault="00A7082D" w:rsidP="00A7082D">
            <w:pPr>
              <w:pStyle w:val="Default"/>
              <w:numPr>
                <w:ilvl w:val="0"/>
                <w:numId w:val="4"/>
              </w:numPr>
              <w:rPr>
                <w:rFonts w:asciiTheme="minorHAnsi" w:hAnsiTheme="minorHAnsi" w:cstheme="minorHAnsi"/>
              </w:rPr>
            </w:pPr>
            <w:r w:rsidRPr="00A7082D">
              <w:rPr>
                <w:rFonts w:asciiTheme="minorHAnsi" w:hAnsiTheme="minorHAnsi" w:cstheme="minorHAnsi"/>
              </w:rPr>
              <w:t>Carboplatin/gemcitabine</w:t>
            </w:r>
          </w:p>
        </w:tc>
      </w:tr>
    </w:tbl>
    <w:p w14:paraId="7EB4B787" w14:textId="5A29FD36" w:rsidR="0046536A" w:rsidRDefault="00A7082D" w:rsidP="008D38A0">
      <w:pPr>
        <w:ind w:left="-432" w:right="864"/>
        <w:contextualSpacing/>
        <w:rPr>
          <w:rFonts w:cstheme="minorHAnsi"/>
          <w:sz w:val="15"/>
          <w:szCs w:val="15"/>
        </w:rPr>
      </w:pPr>
      <w:r>
        <w:rPr>
          <w:rFonts w:cstheme="minorHAnsi"/>
          <w:noProof/>
          <w:sz w:val="15"/>
          <w:szCs w:val="15"/>
        </w:rPr>
        <mc:AlternateContent>
          <mc:Choice Requires="wps">
            <w:drawing>
              <wp:anchor distT="0" distB="0" distL="114300" distR="114300" simplePos="0" relativeHeight="251660288" behindDoc="0" locked="0" layoutInCell="1" allowOverlap="1" wp14:anchorId="17E3E540" wp14:editId="5D774344">
                <wp:simplePos x="0" y="0"/>
                <wp:positionH relativeFrom="column">
                  <wp:posOffset>-497304</wp:posOffset>
                </wp:positionH>
                <wp:positionV relativeFrom="paragraph">
                  <wp:posOffset>26904</wp:posOffset>
                </wp:positionV>
                <wp:extent cx="6296526" cy="1780674"/>
                <wp:effectExtent l="0" t="0" r="3175" b="0"/>
                <wp:wrapNone/>
                <wp:docPr id="1329914922" name="Text Box 2"/>
                <wp:cNvGraphicFramePr/>
                <a:graphic xmlns:a="http://schemas.openxmlformats.org/drawingml/2006/main">
                  <a:graphicData uri="http://schemas.microsoft.com/office/word/2010/wordprocessingShape">
                    <wps:wsp>
                      <wps:cNvSpPr txBox="1"/>
                      <wps:spPr>
                        <a:xfrm>
                          <a:off x="0" y="0"/>
                          <a:ext cx="6296526" cy="1780674"/>
                        </a:xfrm>
                        <a:prstGeom prst="rect">
                          <a:avLst/>
                        </a:prstGeom>
                        <a:solidFill>
                          <a:schemeClr val="lt1"/>
                        </a:solidFill>
                        <a:ln w="6350">
                          <a:noFill/>
                        </a:ln>
                      </wps:spPr>
                      <wps:txbx>
                        <w:txbxContent>
                          <w:p w14:paraId="08377F20" w14:textId="541491EA" w:rsidR="00A7082D" w:rsidRPr="00BA1F8C" w:rsidRDefault="00A7082D" w:rsidP="00A7082D">
                            <w:pPr>
                              <w:ind w:left="90" w:hanging="90"/>
                              <w:rPr>
                                <w:sz w:val="18"/>
                                <w:szCs w:val="18"/>
                                <w:vertAlign w:val="superscript"/>
                              </w:rPr>
                            </w:pPr>
                            <w:r w:rsidRPr="00BA1F8C">
                              <w:rPr>
                                <w:sz w:val="18"/>
                                <w:szCs w:val="18"/>
                              </w:rPr>
                              <w:t>*Administer IMFINZI prior to chemotherapy on the same day. Refer to the Prescribing Information for the agent administered in combination with IMFINZI for recommended dosage information, as appropriate.</w:t>
                            </w:r>
                            <w:r w:rsidRPr="00BA1F8C">
                              <w:rPr>
                                <w:sz w:val="18"/>
                                <w:szCs w:val="18"/>
                                <w:vertAlign w:val="superscript"/>
                              </w:rPr>
                              <w:t>1</w:t>
                            </w:r>
                          </w:p>
                          <w:p w14:paraId="24430A50" w14:textId="77777777" w:rsidR="00A7082D" w:rsidRPr="00BA1F8C" w:rsidRDefault="00A7082D" w:rsidP="00A7082D">
                            <w:pPr>
                              <w:ind w:left="90" w:hanging="90"/>
                              <w:rPr>
                                <w:sz w:val="18"/>
                                <w:szCs w:val="18"/>
                                <w:vertAlign w:val="superscript"/>
                              </w:rPr>
                            </w:pPr>
                            <w:r w:rsidRPr="00BA1F8C">
                              <w:rPr>
                                <w:rFonts w:cstheme="minorHAnsi"/>
                                <w:sz w:val="18"/>
                                <w:szCs w:val="18"/>
                                <w:vertAlign w:val="superscript"/>
                              </w:rPr>
                              <w:t>†</w:t>
                            </w:r>
                            <w:r w:rsidRPr="00BA1F8C">
                              <w:rPr>
                                <w:rFonts w:cstheme="minorHAnsi"/>
                                <w:sz w:val="18"/>
                                <w:szCs w:val="18"/>
                              </w:rPr>
                              <w:t xml:space="preserve">Refer to the Prescribing Information for dosing information. </w:t>
                            </w:r>
                          </w:p>
                          <w:p w14:paraId="3B8BDB6C" w14:textId="3323A1C5" w:rsidR="00A7082D" w:rsidRPr="00BA1F8C" w:rsidRDefault="00A7082D" w:rsidP="00A7082D">
                            <w:pPr>
                              <w:ind w:left="90" w:hanging="90"/>
                              <w:rPr>
                                <w:sz w:val="18"/>
                                <w:szCs w:val="18"/>
                                <w:vertAlign w:val="superscript"/>
                              </w:rPr>
                            </w:pPr>
                            <w:r w:rsidRPr="00BA1F8C">
                              <w:rPr>
                                <w:rFonts w:cstheme="minorHAnsi"/>
                                <w:sz w:val="18"/>
                                <w:szCs w:val="18"/>
                                <w:vertAlign w:val="superscript"/>
                              </w:rPr>
                              <w:t>‡</w:t>
                            </w:r>
                            <w:r w:rsidRPr="00BA1F8C">
                              <w:rPr>
                                <w:rFonts w:ascii="Calibri" w:hAnsi="Calibri" w:cs="Calibri"/>
                                <w:color w:val="212121"/>
                                <w:sz w:val="18"/>
                                <w:szCs w:val="18"/>
                              </w:rPr>
                              <w:t>The platinum-based CT regimen of cisplatin + paclitaxel may be considered; however, this therapy regimen was used outside of the pre-protocol choice.</w:t>
                            </w:r>
                            <w:r w:rsidRPr="00BA1F8C">
                              <w:rPr>
                                <w:rFonts w:ascii="Calibri" w:hAnsi="Calibri" w:cs="Calibri"/>
                                <w:color w:val="212121"/>
                                <w:sz w:val="18"/>
                                <w:szCs w:val="18"/>
                                <w:vertAlign w:val="superscript"/>
                              </w:rPr>
                              <w:t>2</w:t>
                            </w:r>
                          </w:p>
                          <w:p w14:paraId="0F9A64C3" w14:textId="77777777" w:rsidR="00A7082D" w:rsidRPr="00BA1F8C" w:rsidRDefault="00A7082D" w:rsidP="00A7082D">
                            <w:pPr>
                              <w:ind w:left="90" w:hanging="90"/>
                              <w:rPr>
                                <w:sz w:val="18"/>
                                <w:szCs w:val="18"/>
                                <w:vertAlign w:val="superscript"/>
                              </w:rPr>
                            </w:pPr>
                            <w:r w:rsidRPr="00BA1F8C">
                              <w:rPr>
                                <w:rFonts w:ascii="Calibri" w:hAnsi="Calibri" w:cs="Calibri"/>
                                <w:color w:val="212121"/>
                                <w:sz w:val="18"/>
                                <w:szCs w:val="18"/>
                                <w:vertAlign w:val="superscript"/>
                              </w:rPr>
                              <w:t> </w:t>
                            </w:r>
                            <w:r w:rsidRPr="00BA1F8C">
                              <w:rPr>
                                <w:rFonts w:cstheme="minorHAnsi"/>
                                <w:kern w:val="0"/>
                                <w:sz w:val="18"/>
                                <w:szCs w:val="18"/>
                                <w:vertAlign w:val="superscript"/>
                              </w:rPr>
                              <w:t>§</w:t>
                            </w:r>
                            <w:r w:rsidRPr="00BA1F8C">
                              <w:rPr>
                                <w:rFonts w:cstheme="minorHAnsi"/>
                                <w:kern w:val="0"/>
                                <w:sz w:val="18"/>
                                <w:szCs w:val="18"/>
                              </w:rPr>
                              <w:t>Patients with non-squamous NSCLC only. Administer vitamin B12 and folic acid in line with local practice.</w:t>
                            </w:r>
                            <w:r w:rsidRPr="00BA1F8C">
                              <w:rPr>
                                <w:rFonts w:cstheme="minorHAnsi"/>
                                <w:kern w:val="0"/>
                                <w:sz w:val="18"/>
                                <w:szCs w:val="18"/>
                                <w:vertAlign w:val="superscript"/>
                              </w:rPr>
                              <w:t xml:space="preserve">2 </w:t>
                            </w:r>
                          </w:p>
                          <w:p w14:paraId="35A80516" w14:textId="322C50B5" w:rsidR="00A7082D" w:rsidRDefault="00A7082D" w:rsidP="00B578D4">
                            <w:pPr>
                              <w:ind w:left="90" w:hanging="90"/>
                              <w:rPr>
                                <w:rFonts w:cstheme="minorHAnsi"/>
                                <w:sz w:val="18"/>
                                <w:szCs w:val="18"/>
                                <w:vertAlign w:val="superscript"/>
                              </w:rPr>
                            </w:pPr>
                            <w:r w:rsidRPr="00BA1F8C">
                              <w:rPr>
                                <w:rFonts w:ascii="Calibri" w:hAnsi="Calibri" w:cs="Calibri"/>
                                <w:color w:val="040C28"/>
                                <w:sz w:val="18"/>
                                <w:szCs w:val="18"/>
                                <w:vertAlign w:val="superscript"/>
                              </w:rPr>
                              <w:t>¶</w:t>
                            </w:r>
                            <w:r w:rsidRPr="00BA1F8C">
                              <w:rPr>
                                <w:rFonts w:cstheme="minorHAnsi"/>
                                <w:kern w:val="0"/>
                                <w:sz w:val="18"/>
                                <w:szCs w:val="18"/>
                              </w:rPr>
                              <w:t>In the event of unfavorable tolerability, patients can switch from cisplatin to carboplatin therapy at any point during the treatment (assuming eligibility for the switched therapy is met). In patients with comorbidities or unable to tolerate cisplatin per providers judgment, carboplatin AUC 5 can be administered from Cycle 1</w:t>
                            </w:r>
                            <w:r w:rsidRPr="00BA1F8C">
                              <w:rPr>
                                <w:rFonts w:cstheme="minorHAnsi"/>
                                <w:sz w:val="18"/>
                                <w:szCs w:val="18"/>
                              </w:rPr>
                              <w:t>.</w:t>
                            </w:r>
                            <w:r w:rsidRPr="00BA1F8C">
                              <w:rPr>
                                <w:rFonts w:cstheme="minorHAnsi"/>
                                <w:sz w:val="18"/>
                                <w:szCs w:val="18"/>
                                <w:vertAlign w:val="superscript"/>
                              </w:rPr>
                              <w:t>2</w:t>
                            </w:r>
                          </w:p>
                          <w:p w14:paraId="3290C08D" w14:textId="77777777" w:rsidR="00CE1D92" w:rsidRDefault="00CE1D92" w:rsidP="00B578D4">
                            <w:pPr>
                              <w:ind w:left="90" w:hanging="90"/>
                              <w:rPr>
                                <w:sz w:val="18"/>
                                <w:szCs w:val="18"/>
                              </w:rPr>
                            </w:pPr>
                          </w:p>
                          <w:p w14:paraId="501F085E" w14:textId="08115F0D" w:rsidR="00CE1D92" w:rsidRPr="00BA1F8C" w:rsidRDefault="00C11709" w:rsidP="00B578D4">
                            <w:pPr>
                              <w:ind w:left="90" w:hanging="90"/>
                              <w:rPr>
                                <w:sz w:val="18"/>
                                <w:szCs w:val="18"/>
                                <w:vertAlign w:val="superscript"/>
                              </w:rPr>
                            </w:pPr>
                            <w:r>
                              <w:rPr>
                                <w:sz w:val="20"/>
                                <w:szCs w:val="20"/>
                              </w:rPr>
                              <w:t>AUC=</w:t>
                            </w:r>
                            <w:r w:rsidR="00D85D3F">
                              <w:rPr>
                                <w:sz w:val="20"/>
                                <w:szCs w:val="20"/>
                              </w:rPr>
                              <w:t>area under the curve;</w:t>
                            </w:r>
                            <w:r>
                              <w:rPr>
                                <w:sz w:val="20"/>
                                <w:szCs w:val="20"/>
                              </w:rPr>
                              <w:t xml:space="preserve"> CT=chemotherapy; </w:t>
                            </w:r>
                            <w:r w:rsidR="00CE1D92">
                              <w:rPr>
                                <w:sz w:val="20"/>
                                <w:szCs w:val="20"/>
                              </w:rPr>
                              <w:t>USP=</w:t>
                            </w:r>
                            <w:r w:rsidR="00C21B0C">
                              <w:rPr>
                                <w:sz w:val="20"/>
                                <w:szCs w:val="20"/>
                              </w:rPr>
                              <w:t xml:space="preserve">United States </w:t>
                            </w:r>
                            <w:r w:rsidR="00A55804">
                              <w:rPr>
                                <w:sz w:val="20"/>
                                <w:szCs w:val="20"/>
                              </w:rPr>
                              <w:t>Pharmacopeia.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3E540" id="_x0000_t202" coordsize="21600,21600" o:spt="202" path="m,l,21600r21600,l21600,xe">
                <v:stroke joinstyle="miter"/>
                <v:path gradientshapeok="t" o:connecttype="rect"/>
              </v:shapetype>
              <v:shape id="Text Box 2" o:spid="_x0000_s1027" type="#_x0000_t202" style="position:absolute;left:0;text-align:left;margin-left:-39.15pt;margin-top:2.1pt;width:495.8pt;height:1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" fillcolor="white [3201]" stroked="f" strokeweight=".5pt">
                <v:textbox>
                  <w:txbxContent>
                    <w:p w14:paraId="08377F20" w14:textId="541491EA" w:rsidR="00A7082D" w:rsidRPr="00BA1F8C" w:rsidRDefault="00A7082D" w:rsidP="00A7082D">
                      <w:pPr>
                        <w:ind w:left="90" w:hanging="90"/>
                        <w:rPr>
                          <w:sz w:val="18"/>
                          <w:szCs w:val="18"/>
                          <w:vertAlign w:val="superscript"/>
                        </w:rPr>
                      </w:pPr>
                      <w:r w:rsidRPr="00BA1F8C">
                        <w:rPr>
                          <w:sz w:val="18"/>
                          <w:szCs w:val="18"/>
                        </w:rPr>
                        <w:t>*Administer IMFINZI prior to chemotherapy on the same day. Refer to the Prescribing Information for the agent administered in combination with IMFINZI for recommended dosage information, as appropriate.</w:t>
                      </w:r>
                      <w:r w:rsidRPr="00BA1F8C">
                        <w:rPr>
                          <w:sz w:val="18"/>
                          <w:szCs w:val="18"/>
                          <w:vertAlign w:val="superscript"/>
                        </w:rPr>
                        <w:t>1</w:t>
                      </w:r>
                    </w:p>
                    <w:p w14:paraId="24430A50" w14:textId="77777777" w:rsidR="00A7082D" w:rsidRPr="00BA1F8C" w:rsidRDefault="00A7082D" w:rsidP="00A7082D">
                      <w:pPr>
                        <w:ind w:left="90" w:hanging="90"/>
                        <w:rPr>
                          <w:sz w:val="18"/>
                          <w:szCs w:val="18"/>
                          <w:vertAlign w:val="superscript"/>
                        </w:rPr>
                      </w:pPr>
                      <w:r w:rsidRPr="00BA1F8C">
                        <w:rPr>
                          <w:rFonts w:cstheme="minorHAnsi"/>
                          <w:sz w:val="18"/>
                          <w:szCs w:val="18"/>
                          <w:vertAlign w:val="superscript"/>
                        </w:rPr>
                        <w:t>†</w:t>
                      </w:r>
                      <w:r w:rsidRPr="00BA1F8C">
                        <w:rPr>
                          <w:rFonts w:cstheme="minorHAnsi"/>
                          <w:sz w:val="18"/>
                          <w:szCs w:val="18"/>
                        </w:rPr>
                        <w:t xml:space="preserve">Refer to the Prescribing Information for dosing information. </w:t>
                      </w:r>
                    </w:p>
                    <w:p w14:paraId="3B8BDB6C" w14:textId="3323A1C5" w:rsidR="00A7082D" w:rsidRPr="00BA1F8C" w:rsidRDefault="00A7082D" w:rsidP="00A7082D">
                      <w:pPr>
                        <w:ind w:left="90" w:hanging="90"/>
                        <w:rPr>
                          <w:sz w:val="18"/>
                          <w:szCs w:val="18"/>
                          <w:vertAlign w:val="superscript"/>
                        </w:rPr>
                      </w:pPr>
                      <w:r w:rsidRPr="00BA1F8C">
                        <w:rPr>
                          <w:rFonts w:cstheme="minorHAnsi"/>
                          <w:sz w:val="18"/>
                          <w:szCs w:val="18"/>
                          <w:vertAlign w:val="superscript"/>
                        </w:rPr>
                        <w:t>‡</w:t>
                      </w:r>
                      <w:r w:rsidRPr="00BA1F8C">
                        <w:rPr>
                          <w:rFonts w:ascii="Calibri" w:hAnsi="Calibri" w:cs="Calibri"/>
                          <w:color w:val="212121"/>
                          <w:sz w:val="18"/>
                          <w:szCs w:val="18"/>
                        </w:rPr>
                        <w:t>The platinum-based CT regimen of cisplatin + paclitaxel may be considered; however, this therapy regimen was used outside of the pre-protocol choice.</w:t>
                      </w:r>
                      <w:r w:rsidRPr="00BA1F8C">
                        <w:rPr>
                          <w:rFonts w:ascii="Calibri" w:hAnsi="Calibri" w:cs="Calibri"/>
                          <w:color w:val="212121"/>
                          <w:sz w:val="18"/>
                          <w:szCs w:val="18"/>
                          <w:vertAlign w:val="superscript"/>
                        </w:rPr>
                        <w:t>2</w:t>
                      </w:r>
                    </w:p>
                    <w:p w14:paraId="0F9A64C3" w14:textId="77777777" w:rsidR="00A7082D" w:rsidRPr="00BA1F8C" w:rsidRDefault="00A7082D" w:rsidP="00A7082D">
                      <w:pPr>
                        <w:ind w:left="90" w:hanging="90"/>
                        <w:rPr>
                          <w:sz w:val="18"/>
                          <w:szCs w:val="18"/>
                          <w:vertAlign w:val="superscript"/>
                        </w:rPr>
                      </w:pPr>
                      <w:r w:rsidRPr="00BA1F8C">
                        <w:rPr>
                          <w:rFonts w:ascii="Calibri" w:hAnsi="Calibri" w:cs="Calibri"/>
                          <w:color w:val="212121"/>
                          <w:sz w:val="18"/>
                          <w:szCs w:val="18"/>
                          <w:vertAlign w:val="superscript"/>
                        </w:rPr>
                        <w:t> </w:t>
                      </w:r>
                      <w:r w:rsidRPr="00BA1F8C">
                        <w:rPr>
                          <w:rFonts w:cstheme="minorHAnsi"/>
                          <w:kern w:val="0"/>
                          <w:sz w:val="18"/>
                          <w:szCs w:val="18"/>
                          <w:vertAlign w:val="superscript"/>
                        </w:rPr>
                        <w:t>§</w:t>
                      </w:r>
                      <w:r w:rsidRPr="00BA1F8C">
                        <w:rPr>
                          <w:rFonts w:cstheme="minorHAnsi"/>
                          <w:kern w:val="0"/>
                          <w:sz w:val="18"/>
                          <w:szCs w:val="18"/>
                        </w:rPr>
                        <w:t>Patients with non-squamous NSCLC only. Administer vitamin B12 and folic acid in line with local practice.</w:t>
                      </w:r>
                      <w:r w:rsidRPr="00BA1F8C">
                        <w:rPr>
                          <w:rFonts w:cstheme="minorHAnsi"/>
                          <w:kern w:val="0"/>
                          <w:sz w:val="18"/>
                          <w:szCs w:val="18"/>
                          <w:vertAlign w:val="superscript"/>
                        </w:rPr>
                        <w:t xml:space="preserve">2 </w:t>
                      </w:r>
                    </w:p>
                    <w:p w14:paraId="35A80516" w14:textId="322C50B5" w:rsidR="00A7082D" w:rsidRDefault="00A7082D" w:rsidP="00B578D4">
                      <w:pPr>
                        <w:ind w:left="90" w:hanging="90"/>
                        <w:rPr>
                          <w:rFonts w:cstheme="minorHAnsi"/>
                          <w:sz w:val="18"/>
                          <w:szCs w:val="18"/>
                          <w:vertAlign w:val="superscript"/>
                        </w:rPr>
                      </w:pPr>
                      <w:r w:rsidRPr="00BA1F8C">
                        <w:rPr>
                          <w:rFonts w:ascii="Calibri" w:hAnsi="Calibri" w:cs="Calibri"/>
                          <w:color w:val="040C28"/>
                          <w:sz w:val="18"/>
                          <w:szCs w:val="18"/>
                          <w:vertAlign w:val="superscript"/>
                        </w:rPr>
                        <w:t>¶</w:t>
                      </w:r>
                      <w:r w:rsidRPr="00BA1F8C">
                        <w:rPr>
                          <w:rFonts w:cstheme="minorHAnsi"/>
                          <w:kern w:val="0"/>
                          <w:sz w:val="18"/>
                          <w:szCs w:val="18"/>
                        </w:rPr>
                        <w:t>In the event of unfavorable tolerability, patients can switch from cisplatin to carboplatin therapy at any point during the treatment (assuming eligibility for the switched therapy is met). In patients with comorbidities or unable to tolerate cisplatin per providers judgment, carboplatin AUC 5 can be administered from Cycle 1</w:t>
                      </w:r>
                      <w:r w:rsidRPr="00BA1F8C">
                        <w:rPr>
                          <w:rFonts w:cstheme="minorHAnsi"/>
                          <w:sz w:val="18"/>
                          <w:szCs w:val="18"/>
                        </w:rPr>
                        <w:t>.</w:t>
                      </w:r>
                      <w:r w:rsidRPr="00BA1F8C">
                        <w:rPr>
                          <w:rFonts w:cstheme="minorHAnsi"/>
                          <w:sz w:val="18"/>
                          <w:szCs w:val="18"/>
                          <w:vertAlign w:val="superscript"/>
                        </w:rPr>
                        <w:t>2</w:t>
                      </w:r>
                    </w:p>
                    <w:p w14:paraId="3290C08D" w14:textId="77777777" w:rsidR="00CE1D92" w:rsidRDefault="00CE1D92" w:rsidP="00B578D4">
                      <w:pPr>
                        <w:ind w:left="90" w:hanging="90"/>
                        <w:rPr>
                          <w:sz w:val="18"/>
                          <w:szCs w:val="18"/>
                        </w:rPr>
                      </w:pPr>
                    </w:p>
                    <w:p w14:paraId="501F085E" w14:textId="08115F0D" w:rsidR="00CE1D92" w:rsidRPr="00BA1F8C" w:rsidRDefault="00C11709" w:rsidP="00B578D4">
                      <w:pPr>
                        <w:ind w:left="90" w:hanging="90"/>
                        <w:rPr>
                          <w:sz w:val="18"/>
                          <w:szCs w:val="18"/>
                          <w:vertAlign w:val="superscript"/>
                        </w:rPr>
                      </w:pPr>
                      <w:r>
                        <w:rPr>
                          <w:sz w:val="20"/>
                          <w:szCs w:val="20"/>
                        </w:rPr>
                        <w:t>AUC=</w:t>
                      </w:r>
                      <w:r w:rsidR="00D85D3F">
                        <w:rPr>
                          <w:sz w:val="20"/>
                          <w:szCs w:val="20"/>
                        </w:rPr>
                        <w:t>area under the curve;</w:t>
                      </w:r>
                      <w:r>
                        <w:rPr>
                          <w:sz w:val="20"/>
                          <w:szCs w:val="20"/>
                        </w:rPr>
                        <w:t xml:space="preserve"> CT=chemotherapy; </w:t>
                      </w:r>
                      <w:r w:rsidR="00CE1D92">
                        <w:rPr>
                          <w:sz w:val="20"/>
                          <w:szCs w:val="20"/>
                        </w:rPr>
                        <w:t>USP=</w:t>
                      </w:r>
                      <w:r w:rsidR="00C21B0C">
                        <w:rPr>
                          <w:sz w:val="20"/>
                          <w:szCs w:val="20"/>
                        </w:rPr>
                        <w:t xml:space="preserve">United States </w:t>
                      </w:r>
                      <w:r w:rsidR="00A55804">
                        <w:rPr>
                          <w:sz w:val="20"/>
                          <w:szCs w:val="20"/>
                        </w:rPr>
                        <w:t>Pharmacopeia.</w:t>
                      </w:r>
                    </w:p>
                  </w:txbxContent>
                </v:textbox>
              </v:shape>
            </w:pict>
          </mc:Fallback>
        </mc:AlternateContent>
      </w:r>
    </w:p>
    <w:p w14:paraId="5EB70FE3" w14:textId="77777777" w:rsidR="00A7082D" w:rsidRDefault="00A7082D" w:rsidP="008D38A0">
      <w:pPr>
        <w:ind w:left="-432" w:right="864"/>
        <w:contextualSpacing/>
        <w:rPr>
          <w:rFonts w:cstheme="minorHAnsi"/>
          <w:sz w:val="15"/>
          <w:szCs w:val="15"/>
        </w:rPr>
      </w:pPr>
    </w:p>
    <w:p w14:paraId="27E64339" w14:textId="77777777" w:rsidR="00A7082D" w:rsidRDefault="00A7082D" w:rsidP="008D38A0">
      <w:pPr>
        <w:ind w:left="-432" w:right="864"/>
        <w:contextualSpacing/>
        <w:rPr>
          <w:rFonts w:cstheme="minorHAnsi"/>
          <w:sz w:val="15"/>
          <w:szCs w:val="15"/>
        </w:rPr>
      </w:pPr>
    </w:p>
    <w:p w14:paraId="6E2C0519" w14:textId="77777777" w:rsidR="00A7082D" w:rsidRDefault="00A7082D" w:rsidP="008D38A0">
      <w:pPr>
        <w:ind w:left="-432" w:right="864"/>
        <w:contextualSpacing/>
        <w:rPr>
          <w:rFonts w:cstheme="minorHAnsi"/>
          <w:sz w:val="15"/>
          <w:szCs w:val="15"/>
        </w:rPr>
      </w:pPr>
    </w:p>
    <w:p w14:paraId="276C1668" w14:textId="77777777" w:rsidR="00A7082D" w:rsidRDefault="00A7082D" w:rsidP="008D38A0">
      <w:pPr>
        <w:ind w:left="-432" w:right="864"/>
        <w:contextualSpacing/>
        <w:rPr>
          <w:rFonts w:cstheme="minorHAnsi"/>
          <w:sz w:val="15"/>
          <w:szCs w:val="15"/>
        </w:rPr>
      </w:pPr>
    </w:p>
    <w:p w14:paraId="54CC786D" w14:textId="77777777" w:rsidR="00A7082D" w:rsidRDefault="00A7082D" w:rsidP="008D38A0">
      <w:pPr>
        <w:ind w:left="-432" w:right="864"/>
        <w:contextualSpacing/>
        <w:rPr>
          <w:rFonts w:cstheme="minorHAnsi"/>
          <w:sz w:val="15"/>
          <w:szCs w:val="15"/>
        </w:rPr>
      </w:pPr>
    </w:p>
    <w:p w14:paraId="5E2C7ED2" w14:textId="77777777" w:rsidR="00A7082D" w:rsidRPr="008D38A0" w:rsidRDefault="00A7082D" w:rsidP="008D38A0">
      <w:pPr>
        <w:ind w:left="-432" w:right="864"/>
        <w:contextualSpacing/>
        <w:rPr>
          <w:rFonts w:cstheme="minorHAnsi"/>
          <w:sz w:val="15"/>
          <w:szCs w:val="15"/>
        </w:rPr>
      </w:pPr>
    </w:p>
    <w:tbl>
      <w:tblPr>
        <w:tblStyle w:val="TableGrid"/>
        <w:tblW w:w="10530" w:type="dxa"/>
        <w:tblInd w:w="-455" w:type="dxa"/>
        <w:tblLook w:val="04A0" w:firstRow="1" w:lastRow="0" w:firstColumn="1" w:lastColumn="0" w:noHBand="0" w:noVBand="1"/>
      </w:tblPr>
      <w:tblGrid>
        <w:gridCol w:w="5415"/>
        <w:gridCol w:w="5115"/>
      </w:tblGrid>
      <w:tr w:rsidR="001339B9" w14:paraId="515A9770" w14:textId="77777777" w:rsidTr="006E49CD">
        <w:trPr>
          <w:trHeight w:val="325"/>
        </w:trPr>
        <w:tc>
          <w:tcPr>
            <w:tcW w:w="10530" w:type="dxa"/>
            <w:gridSpan w:val="2"/>
            <w:shd w:val="clear" w:color="auto" w:fill="BFBFBF" w:themeFill="background1" w:themeFillShade="BF"/>
          </w:tcPr>
          <w:p w14:paraId="64454AFC" w14:textId="55581C18" w:rsidR="001339B9" w:rsidRPr="001339B9" w:rsidRDefault="001339B9" w:rsidP="003F5A1B">
            <w:pPr>
              <w:rPr>
                <w:b/>
                <w:bCs/>
              </w:rPr>
            </w:pPr>
            <w:r w:rsidRPr="001339B9">
              <w:rPr>
                <w:b/>
                <w:bCs/>
              </w:rPr>
              <w:lastRenderedPageBreak/>
              <w:t>Rescue Medications and Flush</w:t>
            </w:r>
            <w:r w:rsidR="006E0C51" w:rsidRPr="006E0C51">
              <w:rPr>
                <w:b/>
                <w:bCs/>
                <w:vertAlign w:val="superscript"/>
              </w:rPr>
              <w:t>1,2</w:t>
            </w:r>
          </w:p>
        </w:tc>
      </w:tr>
      <w:tr w:rsidR="001339B9" w14:paraId="65C0A19F" w14:textId="77777777" w:rsidTr="006E49CD">
        <w:trPr>
          <w:trHeight w:val="325"/>
        </w:trPr>
        <w:tc>
          <w:tcPr>
            <w:tcW w:w="5415" w:type="dxa"/>
          </w:tcPr>
          <w:p w14:paraId="1B708120" w14:textId="038FC085" w:rsidR="001339B9" w:rsidRPr="00113CE2" w:rsidRDefault="001339B9" w:rsidP="003F5A1B">
            <w:pPr>
              <w:rPr>
                <w:color w:val="000000" w:themeColor="text1"/>
              </w:rPr>
            </w:pPr>
            <w:r w:rsidRPr="00113CE2">
              <w:rPr>
                <w:color w:val="000000" w:themeColor="text1"/>
              </w:rPr>
              <w:t xml:space="preserve">IV </w:t>
            </w:r>
            <w:r w:rsidR="00C93D90">
              <w:rPr>
                <w:color w:val="000000" w:themeColor="text1"/>
              </w:rPr>
              <w:t>f</w:t>
            </w:r>
            <w:r w:rsidRPr="00113CE2">
              <w:rPr>
                <w:color w:val="000000" w:themeColor="text1"/>
              </w:rPr>
              <w:t>lush</w:t>
            </w:r>
          </w:p>
        </w:tc>
        <w:tc>
          <w:tcPr>
            <w:tcW w:w="5115" w:type="dxa"/>
          </w:tcPr>
          <w:p w14:paraId="46166F82" w14:textId="1BB419B5" w:rsidR="001339B9" w:rsidRPr="00113CE2" w:rsidRDefault="001339B9" w:rsidP="003F5A1B">
            <w:pPr>
              <w:rPr>
                <w:color w:val="000000" w:themeColor="text1"/>
              </w:rPr>
            </w:pPr>
            <w:r w:rsidRPr="00113CE2">
              <w:rPr>
                <w:color w:val="000000" w:themeColor="text1"/>
              </w:rPr>
              <w:t>Per institution-preferred protocol</w:t>
            </w:r>
          </w:p>
        </w:tc>
      </w:tr>
      <w:tr w:rsidR="001339B9" w14:paraId="0C9DDA7F" w14:textId="77777777" w:rsidTr="006E49CD">
        <w:trPr>
          <w:trHeight w:val="353"/>
        </w:trPr>
        <w:tc>
          <w:tcPr>
            <w:tcW w:w="5415" w:type="dxa"/>
          </w:tcPr>
          <w:p w14:paraId="2A0530F9" w14:textId="5CDC5669" w:rsidR="001339B9" w:rsidRPr="00113CE2" w:rsidRDefault="001339B9" w:rsidP="003F5A1B">
            <w:pPr>
              <w:rPr>
                <w:color w:val="000000" w:themeColor="text1"/>
              </w:rPr>
            </w:pPr>
            <w:r w:rsidRPr="00113CE2">
              <w:rPr>
                <w:color w:val="000000" w:themeColor="text1"/>
              </w:rPr>
              <w:t>Infusion</w:t>
            </w:r>
            <w:r w:rsidR="00301D37">
              <w:rPr>
                <w:color w:val="000000" w:themeColor="text1"/>
              </w:rPr>
              <w:t>-</w:t>
            </w:r>
            <w:r w:rsidR="00C93D90">
              <w:rPr>
                <w:color w:val="000000" w:themeColor="text1"/>
              </w:rPr>
              <w:t>r</w:t>
            </w:r>
            <w:r w:rsidRPr="00113CE2">
              <w:rPr>
                <w:color w:val="000000" w:themeColor="text1"/>
              </w:rPr>
              <w:t xml:space="preserve">elated </w:t>
            </w:r>
            <w:r w:rsidR="00C93D90">
              <w:rPr>
                <w:color w:val="000000" w:themeColor="text1"/>
              </w:rPr>
              <w:t>r</w:t>
            </w:r>
            <w:r w:rsidRPr="00113CE2">
              <w:rPr>
                <w:color w:val="000000" w:themeColor="text1"/>
              </w:rPr>
              <w:t>eactions</w:t>
            </w:r>
          </w:p>
        </w:tc>
        <w:tc>
          <w:tcPr>
            <w:tcW w:w="5115" w:type="dxa"/>
          </w:tcPr>
          <w:p w14:paraId="24347CA0" w14:textId="1E2C04AA" w:rsidR="001339B9" w:rsidRPr="00113CE2" w:rsidRDefault="001339B9" w:rsidP="003F5A1B">
            <w:pPr>
              <w:rPr>
                <w:color w:val="000000" w:themeColor="text1"/>
              </w:rPr>
            </w:pPr>
            <w:r w:rsidRPr="00113CE2">
              <w:rPr>
                <w:color w:val="000000" w:themeColor="text1"/>
              </w:rPr>
              <w:t>Per institution-preferred protocol</w:t>
            </w:r>
          </w:p>
        </w:tc>
      </w:tr>
      <w:tr w:rsidR="001339B9" w14:paraId="280DB4A0" w14:textId="77777777" w:rsidTr="006E49CD">
        <w:trPr>
          <w:trHeight w:val="1927"/>
        </w:trPr>
        <w:tc>
          <w:tcPr>
            <w:tcW w:w="5415" w:type="dxa"/>
          </w:tcPr>
          <w:p w14:paraId="1ED401D8" w14:textId="2DDF1CC5" w:rsidR="001339B9" w:rsidRPr="00113CE2" w:rsidRDefault="001339B9" w:rsidP="003F5A1B">
            <w:pPr>
              <w:rPr>
                <w:color w:val="000000" w:themeColor="text1"/>
              </w:rPr>
            </w:pPr>
            <w:r w:rsidRPr="00113CE2">
              <w:rPr>
                <w:color w:val="000000" w:themeColor="text1"/>
              </w:rPr>
              <w:t>For</w:t>
            </w:r>
            <w:r w:rsidR="0046536A">
              <w:rPr>
                <w:color w:val="000000" w:themeColor="text1"/>
              </w:rPr>
              <w:t xml:space="preserve"> immune-mediate</w:t>
            </w:r>
            <w:r w:rsidR="00D91278">
              <w:rPr>
                <w:color w:val="000000" w:themeColor="text1"/>
              </w:rPr>
              <w:t>d</w:t>
            </w:r>
            <w:r w:rsidR="0046536A">
              <w:rPr>
                <w:color w:val="000000" w:themeColor="text1"/>
              </w:rPr>
              <w:t xml:space="preserve"> adverse reaction</w:t>
            </w:r>
            <w:r w:rsidRPr="00113CE2">
              <w:rPr>
                <w:color w:val="000000" w:themeColor="text1"/>
              </w:rPr>
              <w:t xml:space="preserve"> management</w:t>
            </w:r>
          </w:p>
        </w:tc>
        <w:tc>
          <w:tcPr>
            <w:tcW w:w="5115" w:type="dxa"/>
          </w:tcPr>
          <w:p w14:paraId="3CCC4D96" w14:textId="69AEAA49" w:rsidR="00113CE2" w:rsidRPr="00C615BD" w:rsidRDefault="002A65E9" w:rsidP="00113CE2">
            <w:pPr>
              <w:rPr>
                <w:rFonts w:cstheme="minorHAnsi"/>
                <w:color w:val="000000"/>
                <w:kern w:val="0"/>
                <w:vertAlign w:val="superscript"/>
              </w:rPr>
            </w:pPr>
            <w:r w:rsidRPr="002A65E9">
              <w:rPr>
                <w:rFonts w:cstheme="minorHAnsi"/>
                <w:color w:val="000000"/>
                <w:kern w:val="0"/>
              </w:rPr>
              <w:t>In general, withhold IMFINZI for severe (</w:t>
            </w:r>
            <w:r w:rsidRPr="005D6018">
              <w:rPr>
                <w:rFonts w:cstheme="minorHAnsi"/>
                <w:b/>
                <w:bCs/>
                <w:color w:val="000000"/>
                <w:kern w:val="0"/>
              </w:rPr>
              <w:t xml:space="preserve">Grade 3) </w:t>
            </w:r>
            <w:r w:rsidRPr="002A65E9">
              <w:rPr>
                <w:rFonts w:cstheme="minorHAnsi"/>
                <w:color w:val="000000"/>
                <w:kern w:val="0"/>
              </w:rPr>
              <w:t xml:space="preserve">immune-mediated adverse reactions. Permanently discontinue IMFINZI for </w:t>
            </w:r>
            <w:r w:rsidR="0067199D">
              <w:rPr>
                <w:rFonts w:cstheme="minorHAnsi"/>
                <w:color w:val="000000"/>
                <w:kern w:val="0"/>
              </w:rPr>
              <w:t xml:space="preserve">                 </w:t>
            </w:r>
            <w:r w:rsidRPr="002A65E9">
              <w:rPr>
                <w:rFonts w:cstheme="minorHAnsi"/>
                <w:color w:val="000000"/>
                <w:kern w:val="0"/>
              </w:rPr>
              <w:t xml:space="preserve">life-threatening </w:t>
            </w:r>
            <w:r w:rsidRPr="005D6018">
              <w:rPr>
                <w:rFonts w:cstheme="minorHAnsi"/>
                <w:b/>
                <w:bCs/>
                <w:color w:val="000000"/>
                <w:kern w:val="0"/>
              </w:rPr>
              <w:t xml:space="preserve">(Grade 4) </w:t>
            </w:r>
            <w:r w:rsidRPr="002A65E9">
              <w:rPr>
                <w:rFonts w:cstheme="minorHAnsi"/>
                <w:color w:val="000000"/>
                <w:kern w:val="0"/>
              </w:rPr>
              <w:t xml:space="preserve">immune-mediated adverse reactions, recurrent severe </w:t>
            </w:r>
            <w:r w:rsidRPr="005D6018">
              <w:rPr>
                <w:rFonts w:cstheme="minorHAnsi"/>
                <w:b/>
                <w:bCs/>
                <w:color w:val="000000"/>
                <w:kern w:val="0"/>
              </w:rPr>
              <w:t>(Grade 3)</w:t>
            </w:r>
            <w:r w:rsidRPr="002A65E9">
              <w:rPr>
                <w:rFonts w:cstheme="minorHAnsi"/>
                <w:color w:val="000000"/>
                <w:kern w:val="0"/>
              </w:rPr>
              <w:t xml:space="preserve"> immune-mediated reactions that require systemic immunosuppressive treatment, or an inability to reduce corticosteroid dose to 10 mg or less of prednisone or equivalent per day within 12 weeks of initiating corticosteroids</w:t>
            </w:r>
            <w:r>
              <w:rPr>
                <w:rFonts w:cstheme="minorHAnsi"/>
                <w:color w:val="000000"/>
                <w:kern w:val="0"/>
              </w:rPr>
              <w:t>.</w:t>
            </w:r>
          </w:p>
          <w:p w14:paraId="5BB45038" w14:textId="77777777" w:rsidR="00335B0E" w:rsidRPr="002A65E9" w:rsidRDefault="00335B0E" w:rsidP="00113CE2">
            <w:pPr>
              <w:rPr>
                <w:rFonts w:cstheme="minorHAnsi"/>
                <w:color w:val="000000" w:themeColor="text1"/>
              </w:rPr>
            </w:pPr>
          </w:p>
          <w:p w14:paraId="70B60E3C" w14:textId="7E237D2C" w:rsidR="001339B9" w:rsidRDefault="00113CE2" w:rsidP="00113CE2">
            <w:pPr>
              <w:rPr>
                <w:color w:val="000000" w:themeColor="text1"/>
              </w:rPr>
            </w:pPr>
            <w:r w:rsidRPr="00C615BD">
              <w:rPr>
                <w:b/>
                <w:bCs/>
                <w:color w:val="000000" w:themeColor="text1"/>
              </w:rPr>
              <w:t>Chemotherapy:</w:t>
            </w:r>
            <w:r w:rsidRPr="009C36EB">
              <w:rPr>
                <w:color w:val="000000" w:themeColor="text1"/>
              </w:rPr>
              <w:t xml:space="preserve"> </w:t>
            </w:r>
            <w:r w:rsidR="004D3ABF" w:rsidRPr="009C36EB">
              <w:rPr>
                <w:color w:val="000000" w:themeColor="text1"/>
              </w:rPr>
              <w:t xml:space="preserve">Per institution-preferred protocol for </w:t>
            </w:r>
            <w:r w:rsidR="005D6018">
              <w:rPr>
                <w:color w:val="000000" w:themeColor="text1"/>
              </w:rPr>
              <w:t>C</w:t>
            </w:r>
            <w:r w:rsidR="004D3ABF" w:rsidRPr="009C36EB">
              <w:rPr>
                <w:color w:val="000000" w:themeColor="text1"/>
              </w:rPr>
              <w:t>ycles 1-4.</w:t>
            </w:r>
          </w:p>
          <w:p w14:paraId="46578ECA" w14:textId="2D855ACF" w:rsidR="006E49CD" w:rsidRPr="009C36EB" w:rsidRDefault="006E49CD" w:rsidP="00113CE2">
            <w:pPr>
              <w:rPr>
                <w:color w:val="FA00FF"/>
              </w:rPr>
            </w:pPr>
          </w:p>
        </w:tc>
      </w:tr>
    </w:tbl>
    <w:p w14:paraId="0ABDE6F3" w14:textId="77777777" w:rsidR="006E49CD" w:rsidRDefault="006E49CD" w:rsidP="00745207">
      <w:pPr>
        <w:ind w:left="-144"/>
        <w:rPr>
          <w:rFonts w:cstheme="minorHAnsi"/>
          <w:color w:val="000000" w:themeColor="text1"/>
          <w:sz w:val="20"/>
          <w:szCs w:val="20"/>
        </w:rPr>
      </w:pPr>
    </w:p>
    <w:p w14:paraId="69E9E2FE" w14:textId="13821F6C" w:rsidR="008E772D" w:rsidRPr="008863C2" w:rsidRDefault="005772C3" w:rsidP="004C496B">
      <w:pPr>
        <w:ind w:left="-432"/>
        <w:rPr>
          <w:rFonts w:cstheme="minorHAnsi"/>
          <w:color w:val="000000" w:themeColor="text1"/>
          <w:sz w:val="20"/>
          <w:szCs w:val="20"/>
        </w:rPr>
      </w:pPr>
      <w:r w:rsidRPr="008863C2">
        <w:rPr>
          <w:rFonts w:cstheme="minorHAnsi"/>
          <w:color w:val="000000" w:themeColor="text1"/>
          <w:sz w:val="20"/>
          <w:szCs w:val="20"/>
        </w:rPr>
        <w:t>IV=</w:t>
      </w:r>
      <w:r w:rsidRPr="008863C2">
        <w:rPr>
          <w:rFonts w:cstheme="minorHAnsi"/>
          <w:color w:val="000000" w:themeColor="text1"/>
          <w:sz w:val="20"/>
          <w:szCs w:val="20"/>
          <w:shd w:val="clear" w:color="auto" w:fill="FFFFFF"/>
        </w:rPr>
        <w:t>intravenous</w:t>
      </w:r>
      <w:r w:rsidR="00745207" w:rsidRPr="008863C2">
        <w:rPr>
          <w:rFonts w:cstheme="minorHAnsi"/>
          <w:color w:val="000000" w:themeColor="text1"/>
          <w:sz w:val="20"/>
          <w:szCs w:val="20"/>
          <w:shd w:val="clear" w:color="auto" w:fill="FFFFFF"/>
        </w:rPr>
        <w:t>.</w:t>
      </w:r>
    </w:p>
    <w:p w14:paraId="7D5678EF" w14:textId="77777777" w:rsidR="001339B9" w:rsidRPr="00654DDF" w:rsidRDefault="001339B9" w:rsidP="00654DDF">
      <w:pPr>
        <w:rPr>
          <w:rFonts w:cstheme="minorHAnsi"/>
          <w:color w:val="FA00FF"/>
        </w:rPr>
      </w:pPr>
    </w:p>
    <w:p w14:paraId="14CA5100" w14:textId="77777777" w:rsidR="0038322E" w:rsidRDefault="0038322E" w:rsidP="00654DDF">
      <w:pPr>
        <w:ind w:left="-432"/>
        <w:rPr>
          <w:b/>
          <w:bCs/>
          <w:color w:val="000000" w:themeColor="text1"/>
        </w:rPr>
      </w:pPr>
    </w:p>
    <w:p w14:paraId="68B7A01F" w14:textId="6CD72599" w:rsidR="00654DDF" w:rsidRPr="00654DDF" w:rsidRDefault="00654DDF" w:rsidP="00654DDF">
      <w:pPr>
        <w:ind w:left="-432"/>
        <w:rPr>
          <w:b/>
          <w:bCs/>
          <w:color w:val="000000" w:themeColor="text1"/>
        </w:rPr>
      </w:pPr>
      <w:r w:rsidRPr="00654DDF">
        <w:rPr>
          <w:b/>
          <w:bCs/>
          <w:color w:val="000000" w:themeColor="text1"/>
        </w:rPr>
        <w:t>Indication:</w:t>
      </w:r>
    </w:p>
    <w:p w14:paraId="6786C2B1" w14:textId="77777777" w:rsidR="00654DDF" w:rsidRPr="00654DDF" w:rsidRDefault="00654DDF" w:rsidP="00654DDF">
      <w:pPr>
        <w:ind w:left="432"/>
        <w:rPr>
          <w:rFonts w:cstheme="minorHAnsi"/>
        </w:rPr>
      </w:pPr>
    </w:p>
    <w:p w14:paraId="37E7DCB0" w14:textId="6F0ACDE6" w:rsidR="00654DDF" w:rsidRPr="00654DDF" w:rsidRDefault="00654DDF" w:rsidP="00654DDF">
      <w:pPr>
        <w:ind w:left="-450"/>
        <w:rPr>
          <w:color w:val="000000" w:themeColor="text1"/>
        </w:rPr>
      </w:pPr>
      <w:r w:rsidRPr="00654DDF">
        <w:rPr>
          <w:color w:val="000000" w:themeColor="text1"/>
        </w:rPr>
        <w:t xml:space="preserve">IMFINZI in combination with platinum-containing chemotherapy as neoadjuvant treatment, followed by IMFINZI continued as a single agent as adjuvant treatment after surgery, is indicated for the treatment of adult patients with resectable (tumors ≥4 cm </w:t>
      </w:r>
      <w:r w:rsidR="00A13C25">
        <w:rPr>
          <w:color w:val="000000" w:themeColor="text1"/>
        </w:rPr>
        <w:t>and/</w:t>
      </w:r>
      <w:r w:rsidRPr="00654DDF">
        <w:rPr>
          <w:color w:val="000000" w:themeColor="text1"/>
        </w:rPr>
        <w:t>or node positive) non-small cell lung cancer (NSCLC) and no known epidermal growth factor receptor (EGFR) mutations or anaplastic lymphoma kinase (ALK) rearrangements.</w:t>
      </w:r>
    </w:p>
    <w:p w14:paraId="16918C14" w14:textId="77777777" w:rsidR="00654DDF" w:rsidRDefault="00654DDF" w:rsidP="006E49CD">
      <w:pPr>
        <w:ind w:left="-432"/>
        <w:rPr>
          <w:color w:val="FA00FF"/>
        </w:rPr>
      </w:pPr>
    </w:p>
    <w:p w14:paraId="4453B4EC" w14:textId="77777777" w:rsidR="0094756C" w:rsidRPr="004C496B" w:rsidRDefault="0094756C" w:rsidP="0094756C">
      <w:pPr>
        <w:ind w:left="-432"/>
        <w:rPr>
          <w:b/>
          <w:bCs/>
          <w:color w:val="000000" w:themeColor="text1"/>
        </w:rPr>
      </w:pPr>
      <w:r w:rsidRPr="008C2AF6">
        <w:rPr>
          <w:b/>
          <w:bCs/>
          <w:color w:val="000000" w:themeColor="text1"/>
        </w:rPr>
        <w:t>IMPORTANT SAFETY INFORMATION</w:t>
      </w:r>
    </w:p>
    <w:p w14:paraId="41E33421" w14:textId="77777777" w:rsidR="0094756C" w:rsidRDefault="0094756C" w:rsidP="006E49CD">
      <w:pPr>
        <w:ind w:left="-432"/>
        <w:rPr>
          <w:color w:val="FA00FF"/>
        </w:rPr>
      </w:pPr>
    </w:p>
    <w:p w14:paraId="20813F71" w14:textId="77777777" w:rsidR="00F51336" w:rsidRPr="00F51336" w:rsidRDefault="00F51336" w:rsidP="00F51336">
      <w:pPr>
        <w:ind w:left="-432"/>
        <w:rPr>
          <w:color w:val="000000" w:themeColor="text1"/>
        </w:rPr>
      </w:pPr>
      <w:r w:rsidRPr="00F51336">
        <w:rPr>
          <w:color w:val="000000" w:themeColor="text1"/>
          <w:lang w:val="x-none"/>
        </w:rPr>
        <w:t>There are no contraindications for </w:t>
      </w:r>
      <w:r w:rsidRPr="00F51336">
        <w:rPr>
          <w:color w:val="000000" w:themeColor="text1"/>
        </w:rPr>
        <w:t>IMFINZI</w:t>
      </w:r>
      <w:r w:rsidRPr="00F51336">
        <w:rPr>
          <w:color w:val="000000" w:themeColor="text1"/>
          <w:vertAlign w:val="superscript"/>
        </w:rPr>
        <w:t>®</w:t>
      </w:r>
      <w:r w:rsidRPr="00F51336">
        <w:rPr>
          <w:color w:val="000000" w:themeColor="text1"/>
        </w:rPr>
        <w:t> (durvalumab).</w:t>
      </w:r>
    </w:p>
    <w:p w14:paraId="5A0C1C60" w14:textId="77777777" w:rsidR="004C496B" w:rsidRPr="00F51336" w:rsidRDefault="004C496B" w:rsidP="0094756C">
      <w:pPr>
        <w:rPr>
          <w:color w:val="000000" w:themeColor="text1"/>
        </w:rPr>
      </w:pPr>
    </w:p>
    <w:p w14:paraId="4F94BF31" w14:textId="77777777" w:rsidR="00F51336" w:rsidRPr="00F51336" w:rsidRDefault="00F51336" w:rsidP="00F51336">
      <w:pPr>
        <w:ind w:left="-432"/>
        <w:rPr>
          <w:b/>
          <w:bCs/>
          <w:color w:val="000000" w:themeColor="text1"/>
        </w:rPr>
      </w:pPr>
      <w:r w:rsidRPr="00F51336">
        <w:rPr>
          <w:b/>
          <w:bCs/>
          <w:color w:val="000000" w:themeColor="text1"/>
        </w:rPr>
        <w:t>Immune-Mediated Adverse Reactions</w:t>
      </w:r>
    </w:p>
    <w:p w14:paraId="1877AD12" w14:textId="4F775B36" w:rsidR="00F51336" w:rsidRDefault="00F51336" w:rsidP="00F51336">
      <w:pPr>
        <w:ind w:left="-432"/>
        <w:rPr>
          <w:color w:val="000000" w:themeColor="text1"/>
        </w:rPr>
      </w:pPr>
      <w:r w:rsidRPr="00F51336">
        <w:rPr>
          <w:color w:val="000000" w:themeColor="text1"/>
        </w:rPr>
        <w:t xml:space="preserve">Important immune-mediated adverse reactions listed under Warnings and Precautions may not include all possible severe and fatal immune-mediated reactions. Immune-mediated adverse reactions, which may be severe or fatal, can occur in any organ system or tissue. Immune-mediated adverse reactions can occur at any time after starting treatment or after discontinuation. Monitor patients closely for symptoms and signs that may be clinical manifestations of underlying </w:t>
      </w:r>
      <w:r w:rsidR="00BB7F5C">
        <w:rPr>
          <w:color w:val="000000" w:themeColor="text1"/>
        </w:rPr>
        <w:br/>
      </w:r>
      <w:r w:rsidRPr="00F51336">
        <w:rPr>
          <w:color w:val="000000" w:themeColor="text1"/>
        </w:rPr>
        <w:t xml:space="preserve">immune-mediated adverse reactions. Evaluate liver enzymes, creatinine, and thyroid function at baseline and periodically during treatment. In cases of suspected immune-mediated adverse reactions, initiate appropriate workup to exclude alternative etiologies, including infection. Institute medical management promptly, including specialty consultation as appropriate. Withhold or </w:t>
      </w:r>
      <w:r w:rsidRPr="00F51336">
        <w:rPr>
          <w:color w:val="000000" w:themeColor="text1"/>
        </w:rPr>
        <w:lastRenderedPageBreak/>
        <w:t>permanently discontinue IMFINZI depending on severity. See USPI Dosing and Administration for specific details. In general, if IMFINZI requires interruption or discontinuation, administer systemic corticosteroid therapy (1 mg to 2 mg/kg/day prednisone or equivalent) until improvement to Grade 1 or less. Upon improvement to Grade 1 or less, initiate corticosteroid taper and continue to taper over at least 1 month. Consider administration of other systemic immunosuppressants in patients whose immune-mediated adverse reactions are not controlled with corticosteroid therapy.</w:t>
      </w:r>
    </w:p>
    <w:p w14:paraId="0EA48BA4" w14:textId="77777777" w:rsidR="00F51336" w:rsidRDefault="00F51336" w:rsidP="00CB1DA3">
      <w:pPr>
        <w:rPr>
          <w:color w:val="000000" w:themeColor="text1"/>
        </w:rPr>
      </w:pPr>
    </w:p>
    <w:p w14:paraId="4CEB9010" w14:textId="77777777" w:rsidR="00F51336" w:rsidRPr="00F51336" w:rsidRDefault="00F51336" w:rsidP="00F51336">
      <w:pPr>
        <w:ind w:left="-432"/>
        <w:rPr>
          <w:b/>
          <w:bCs/>
          <w:color w:val="000000" w:themeColor="text1"/>
          <w:u w:val="single"/>
        </w:rPr>
      </w:pPr>
      <w:r w:rsidRPr="00F51336">
        <w:rPr>
          <w:b/>
          <w:bCs/>
          <w:color w:val="000000" w:themeColor="text1"/>
          <w:u w:val="single"/>
        </w:rPr>
        <w:t>Immune-Mediated Pneumonitis</w:t>
      </w:r>
    </w:p>
    <w:p w14:paraId="04029C05" w14:textId="77777777" w:rsidR="00F51336" w:rsidRPr="00F51336" w:rsidRDefault="00F51336" w:rsidP="00F51336">
      <w:pPr>
        <w:ind w:left="-432"/>
        <w:rPr>
          <w:color w:val="000000" w:themeColor="text1"/>
        </w:rPr>
      </w:pPr>
      <w:r w:rsidRPr="00F51336">
        <w:rPr>
          <w:color w:val="000000" w:themeColor="text1"/>
        </w:rPr>
        <w:t>IMFINZI can cause immune-mediated pneumonitis. The incidence of pneumonitis is higher in patients who have received prior thoracic radiation. In patients who did not receive recent prior radiation, the incidence of immune-mediated pneumonitis was 2.4% (34/1414), including fatal (&lt;0.1%), and Grade 3-4 (0.4%) adverse reactions. In patients who received recent prior radiation, the incidence of pneumonitis (including radiation pneumonitis) in patients with unresectable Stage III NSCLC following definitive chemoradiation within 42 days prior to initiation of IMFINZI in PACIFIC was 18.3% (87/475) in patients receiving IMFINZI and 12.8% (30/234) in patients receiving placebo. Of the patients who received IMFINZI (475), 1.1% were fatal and 2.7% were Grade 3 adverse reactions. The frequency and severity of immune-mediated pneumonitis in patients who did not receive definitive chemoradiation prior to IMFINZI were similar in patients who received IMFINZI as a single agent or with ES-SCLC or BTC when given in combination with chemotherapy.</w:t>
      </w:r>
    </w:p>
    <w:p w14:paraId="73281600" w14:textId="77777777" w:rsidR="00F51336" w:rsidRPr="00F51336" w:rsidRDefault="00F51336" w:rsidP="00F51336">
      <w:pPr>
        <w:ind w:left="-432"/>
        <w:rPr>
          <w:color w:val="000000" w:themeColor="text1"/>
        </w:rPr>
      </w:pPr>
    </w:p>
    <w:p w14:paraId="63E0E1F4" w14:textId="77777777" w:rsidR="00F51336" w:rsidRPr="00F51336" w:rsidRDefault="00F51336" w:rsidP="00F51336">
      <w:pPr>
        <w:ind w:left="-432"/>
        <w:rPr>
          <w:b/>
          <w:bCs/>
          <w:color w:val="000000" w:themeColor="text1"/>
          <w:u w:val="single"/>
        </w:rPr>
      </w:pPr>
      <w:r w:rsidRPr="00F51336">
        <w:rPr>
          <w:b/>
          <w:bCs/>
          <w:color w:val="000000" w:themeColor="text1"/>
          <w:u w:val="single"/>
        </w:rPr>
        <w:t>Immune-Mediated Colitis</w:t>
      </w:r>
    </w:p>
    <w:p w14:paraId="45493351" w14:textId="77777777" w:rsidR="00F51336" w:rsidRPr="00F51336" w:rsidRDefault="00F51336" w:rsidP="00F51336">
      <w:pPr>
        <w:ind w:left="-432"/>
        <w:rPr>
          <w:color w:val="000000" w:themeColor="text1"/>
        </w:rPr>
      </w:pPr>
      <w:r w:rsidRPr="00F51336">
        <w:rPr>
          <w:color w:val="000000" w:themeColor="text1"/>
        </w:rPr>
        <w:t xml:space="preserve">IMFINZI can cause immune-mediated colitis that is frequently associated with diarrhea. Cytomegalovirus (CMV) infection/reactivation has been reported in patients with corticosteroid-refractory immune-mediated colitis. In cases of corticosteroid-refractory colitis, consider repeating infectious workup to exclude alternative etiologies. Immune-mediated colitis occurred in 2% (37/1889) of patients receiving IMFINZI, including Grade 4 (&lt;0.1%) and Grade 3 (0.4%) adverse reactions. </w:t>
      </w:r>
    </w:p>
    <w:p w14:paraId="244296ED" w14:textId="77777777" w:rsidR="00F51336" w:rsidRPr="00F51336" w:rsidRDefault="00F51336" w:rsidP="00F51336">
      <w:pPr>
        <w:ind w:left="-432"/>
        <w:rPr>
          <w:color w:val="000000" w:themeColor="text1"/>
        </w:rPr>
      </w:pPr>
    </w:p>
    <w:p w14:paraId="29A4B62D" w14:textId="77777777" w:rsidR="00F51336" w:rsidRPr="00F51336" w:rsidRDefault="00F51336" w:rsidP="00F51336">
      <w:pPr>
        <w:ind w:left="-432"/>
        <w:rPr>
          <w:b/>
          <w:bCs/>
          <w:color w:val="000000" w:themeColor="text1"/>
          <w:u w:val="single"/>
        </w:rPr>
      </w:pPr>
      <w:r w:rsidRPr="00F51336">
        <w:rPr>
          <w:b/>
          <w:bCs/>
          <w:color w:val="000000" w:themeColor="text1"/>
          <w:u w:val="single"/>
        </w:rPr>
        <w:t>Immune-Mediated Hepatitis</w:t>
      </w:r>
    </w:p>
    <w:p w14:paraId="2EED990A" w14:textId="77777777" w:rsidR="00F51336" w:rsidRPr="00F51336" w:rsidRDefault="00F51336" w:rsidP="00F51336">
      <w:pPr>
        <w:ind w:left="-432"/>
        <w:rPr>
          <w:color w:val="000000" w:themeColor="text1"/>
        </w:rPr>
      </w:pPr>
      <w:r w:rsidRPr="00F51336">
        <w:rPr>
          <w:color w:val="000000" w:themeColor="text1"/>
        </w:rPr>
        <w:t xml:space="preserve">IMFINZI can cause immune-mediated hepatitis. Immune-mediated hepatitis occurred in 2.8% (52/1889) of patients receiving IMFINZI, including fatal (0.2%), Grade 4 (0.3%) and Grade 3 (1.4%) adverse reactions. </w:t>
      </w:r>
    </w:p>
    <w:p w14:paraId="6C14F36A" w14:textId="77777777" w:rsidR="00F51336" w:rsidRPr="00F51336" w:rsidRDefault="00F51336" w:rsidP="00F51336">
      <w:pPr>
        <w:ind w:left="-432"/>
        <w:rPr>
          <w:color w:val="000000" w:themeColor="text1"/>
        </w:rPr>
      </w:pPr>
    </w:p>
    <w:p w14:paraId="7ACB2117" w14:textId="77777777" w:rsidR="00F51336" w:rsidRPr="00F51336" w:rsidRDefault="00F51336" w:rsidP="00F51336">
      <w:pPr>
        <w:ind w:left="-432"/>
        <w:rPr>
          <w:b/>
          <w:bCs/>
          <w:color w:val="000000" w:themeColor="text1"/>
          <w:u w:val="single"/>
        </w:rPr>
      </w:pPr>
      <w:r w:rsidRPr="00F51336">
        <w:rPr>
          <w:b/>
          <w:bCs/>
          <w:color w:val="000000" w:themeColor="text1"/>
          <w:u w:val="single"/>
        </w:rPr>
        <w:t>Immune-Mediated Endocrinopathies</w:t>
      </w:r>
    </w:p>
    <w:p w14:paraId="311D4699" w14:textId="648DB616" w:rsidR="00F51336" w:rsidRDefault="00F51336" w:rsidP="00F51336">
      <w:pPr>
        <w:pStyle w:val="ListParagraph"/>
        <w:numPr>
          <w:ilvl w:val="0"/>
          <w:numId w:val="7"/>
        </w:numPr>
        <w:rPr>
          <w:color w:val="000000" w:themeColor="text1"/>
        </w:rPr>
      </w:pPr>
      <w:r w:rsidRPr="00F51336">
        <w:rPr>
          <w:b/>
          <w:bCs/>
          <w:i/>
          <w:color w:val="000000" w:themeColor="text1"/>
        </w:rPr>
        <w:t>Adrenal Insufficiency</w:t>
      </w:r>
      <w:r w:rsidRPr="00F51336">
        <w:rPr>
          <w:color w:val="000000" w:themeColor="text1"/>
        </w:rPr>
        <w:t>:</w:t>
      </w:r>
      <w:r w:rsidRPr="00F51336">
        <w:rPr>
          <w:b/>
          <w:bCs/>
          <w:color w:val="000000" w:themeColor="text1"/>
        </w:rPr>
        <w:t xml:space="preserve"> </w:t>
      </w:r>
      <w:r w:rsidRPr="00F51336">
        <w:rPr>
          <w:color w:val="000000" w:themeColor="text1"/>
        </w:rPr>
        <w:t>IMFINZI can cause primary or secondary adrenal insufficiency. For Grade 2 or higher adrenal insufficiency, initiate symptomatic treatment, including hormone replacement as clinically indicated. Immune-mediated adrenal insufficiency occurred in 0.5% (9/1889) of patients receiving IMFINZI, including Grade 3 (&lt;0.1%) adverse reactions.</w:t>
      </w:r>
    </w:p>
    <w:p w14:paraId="703CC609" w14:textId="1FA5FC26" w:rsidR="00F51336" w:rsidRPr="00F51336" w:rsidRDefault="00F51336" w:rsidP="00F51336">
      <w:pPr>
        <w:pStyle w:val="ListParagraph"/>
        <w:numPr>
          <w:ilvl w:val="0"/>
          <w:numId w:val="7"/>
        </w:numPr>
        <w:autoSpaceDE w:val="0"/>
        <w:autoSpaceDN w:val="0"/>
        <w:adjustRightInd w:val="0"/>
        <w:rPr>
          <w:rFonts w:cstheme="minorHAnsi"/>
          <w:color w:val="000000"/>
        </w:rPr>
      </w:pPr>
      <w:r w:rsidRPr="00F51336">
        <w:rPr>
          <w:rFonts w:cstheme="minorHAnsi"/>
          <w:b/>
          <w:bCs/>
          <w:i/>
          <w:color w:val="000000"/>
        </w:rPr>
        <w:t>Hypophysitis</w:t>
      </w:r>
      <w:r w:rsidRPr="00F51336">
        <w:rPr>
          <w:rFonts w:cstheme="minorHAnsi"/>
          <w:iCs/>
          <w:color w:val="000000"/>
        </w:rPr>
        <w:t>:</w:t>
      </w:r>
      <w:r w:rsidRPr="00F51336">
        <w:rPr>
          <w:rFonts w:cstheme="minorHAnsi"/>
          <w:b/>
          <w:bCs/>
          <w:i/>
          <w:color w:val="000000"/>
        </w:rPr>
        <w:t xml:space="preserve"> </w:t>
      </w:r>
      <w:r w:rsidRPr="00F51336">
        <w:rPr>
          <w:rFonts w:cstheme="minorHAnsi"/>
          <w:color w:val="000000"/>
        </w:rPr>
        <w:t xml:space="preserve">IMFINZI can cause immune-mediated hypophysitis. Hypophysitis can present with acute symptoms associated with mass effect such as headache, photophobia, or visual field cuts. Hypophysitis can cause hypopituitarism. Initiate symptomatic treatment including hormone replacement as clinically indicated. Grade 3 hypophysitis/hypopituitarism occurred in &lt;0.1% (1/1889) of patients who received IMFINZI. </w:t>
      </w:r>
      <w:r w:rsidR="00753D3D">
        <w:rPr>
          <w:rFonts w:cstheme="minorHAnsi"/>
          <w:color w:val="000000"/>
        </w:rPr>
        <w:br/>
      </w:r>
    </w:p>
    <w:p w14:paraId="66862EAB" w14:textId="77777777" w:rsidR="00F51336" w:rsidRPr="00F51336" w:rsidRDefault="00F51336" w:rsidP="00F51336">
      <w:pPr>
        <w:pStyle w:val="ListParagraph"/>
        <w:numPr>
          <w:ilvl w:val="0"/>
          <w:numId w:val="7"/>
        </w:numPr>
        <w:autoSpaceDE w:val="0"/>
        <w:autoSpaceDN w:val="0"/>
        <w:adjustRightInd w:val="0"/>
        <w:rPr>
          <w:rFonts w:cstheme="minorHAnsi"/>
          <w:i/>
        </w:rPr>
      </w:pPr>
      <w:r w:rsidRPr="00F51336">
        <w:rPr>
          <w:rFonts w:cstheme="minorHAnsi"/>
          <w:b/>
          <w:bCs/>
          <w:i/>
          <w:color w:val="000000"/>
        </w:rPr>
        <w:lastRenderedPageBreak/>
        <w:t>Thyroid Disorders</w:t>
      </w:r>
      <w:r w:rsidRPr="00F51336">
        <w:rPr>
          <w:rFonts w:cstheme="minorHAnsi"/>
        </w:rPr>
        <w:t>:</w:t>
      </w:r>
      <w:r w:rsidRPr="00F51336">
        <w:rPr>
          <w:rFonts w:cstheme="minorHAnsi"/>
          <w:b/>
          <w:bCs/>
        </w:rPr>
        <w:t xml:space="preserve"> </w:t>
      </w:r>
      <w:r w:rsidRPr="00F51336">
        <w:rPr>
          <w:rFonts w:cstheme="minorHAnsi"/>
          <w:color w:val="000000"/>
        </w:rPr>
        <w:t>IMFINZI can cause immune-mediated thyroid disorders. Thyroiditis can present with or without endocrinopathy. Hypothyroidism can follow hyperthyroidism. Initiate hormone replacement therapy for hypothyroidism or institute medical management of hyperthyroidism as clinically indicated.</w:t>
      </w:r>
    </w:p>
    <w:p w14:paraId="44B94970" w14:textId="77777777" w:rsidR="00F51336" w:rsidRPr="00F51336" w:rsidRDefault="00F51336" w:rsidP="00F51336">
      <w:pPr>
        <w:pStyle w:val="NoSpacing"/>
        <w:numPr>
          <w:ilvl w:val="0"/>
          <w:numId w:val="7"/>
        </w:numPr>
        <w:rPr>
          <w:rFonts w:asciiTheme="minorHAnsi" w:hAnsiTheme="minorHAnsi" w:cstheme="minorHAnsi"/>
          <w:sz w:val="24"/>
          <w:szCs w:val="24"/>
        </w:rPr>
      </w:pPr>
      <w:r w:rsidRPr="00F51336">
        <w:rPr>
          <w:rFonts w:asciiTheme="minorHAnsi" w:hAnsiTheme="minorHAnsi" w:cstheme="minorHAnsi"/>
          <w:b/>
          <w:bCs/>
          <w:i/>
          <w:sz w:val="24"/>
          <w:szCs w:val="24"/>
        </w:rPr>
        <w:t>Thyroiditis</w:t>
      </w:r>
      <w:r w:rsidRPr="00F51336">
        <w:rPr>
          <w:rFonts w:asciiTheme="minorHAnsi" w:hAnsiTheme="minorHAnsi" w:cstheme="minorHAnsi"/>
          <w:iCs/>
          <w:sz w:val="24"/>
          <w:szCs w:val="24"/>
        </w:rPr>
        <w:t>:</w:t>
      </w:r>
      <w:r w:rsidRPr="00F51336">
        <w:rPr>
          <w:rFonts w:asciiTheme="minorHAnsi" w:hAnsiTheme="minorHAnsi" w:cstheme="minorHAnsi"/>
          <w:sz w:val="24"/>
          <w:szCs w:val="24"/>
        </w:rPr>
        <w:t xml:space="preserve"> Immune-mediated</w:t>
      </w:r>
      <w:r w:rsidRPr="00F51336">
        <w:rPr>
          <w:rFonts w:asciiTheme="minorHAnsi" w:hAnsiTheme="minorHAnsi" w:cstheme="minorHAnsi"/>
          <w:color w:val="000000"/>
          <w:sz w:val="24"/>
          <w:szCs w:val="24"/>
        </w:rPr>
        <w:t xml:space="preserve"> thyroiditis occurred in 0.5% (9/1889) of patients receiving IMFINZI, </w:t>
      </w:r>
      <w:r w:rsidRPr="00F51336">
        <w:rPr>
          <w:rFonts w:asciiTheme="minorHAnsi" w:hAnsiTheme="minorHAnsi" w:cstheme="minorHAnsi"/>
          <w:sz w:val="24"/>
          <w:szCs w:val="24"/>
        </w:rPr>
        <w:t xml:space="preserve">including Grade 3 (&lt;0.1%) adverse reactions. </w:t>
      </w:r>
    </w:p>
    <w:p w14:paraId="13431612" w14:textId="77777777" w:rsidR="00F51336" w:rsidRPr="00F51336" w:rsidRDefault="00F51336" w:rsidP="00F51336">
      <w:pPr>
        <w:pStyle w:val="NoSpacing"/>
        <w:numPr>
          <w:ilvl w:val="0"/>
          <w:numId w:val="7"/>
        </w:numPr>
        <w:rPr>
          <w:rFonts w:asciiTheme="minorHAnsi" w:hAnsiTheme="minorHAnsi" w:cstheme="minorHAnsi"/>
          <w:sz w:val="24"/>
          <w:szCs w:val="24"/>
        </w:rPr>
      </w:pPr>
      <w:r w:rsidRPr="00F51336">
        <w:rPr>
          <w:rFonts w:asciiTheme="minorHAnsi" w:hAnsiTheme="minorHAnsi" w:cstheme="minorHAnsi"/>
          <w:b/>
          <w:bCs/>
          <w:i/>
          <w:sz w:val="24"/>
          <w:szCs w:val="24"/>
        </w:rPr>
        <w:t>Hyperthyroidism</w:t>
      </w:r>
      <w:r w:rsidRPr="00F51336">
        <w:rPr>
          <w:rFonts w:asciiTheme="minorHAnsi" w:hAnsiTheme="minorHAnsi" w:cstheme="minorHAnsi"/>
          <w:i/>
          <w:sz w:val="24"/>
          <w:szCs w:val="24"/>
        </w:rPr>
        <w:t>:</w:t>
      </w:r>
      <w:r w:rsidRPr="00F51336">
        <w:rPr>
          <w:rFonts w:asciiTheme="minorHAnsi" w:hAnsiTheme="minorHAnsi" w:cstheme="minorHAnsi"/>
          <w:sz w:val="24"/>
          <w:szCs w:val="24"/>
        </w:rPr>
        <w:t xml:space="preserve"> Immune-mediated hyperthyroidism</w:t>
      </w:r>
      <w:r w:rsidRPr="00F51336">
        <w:rPr>
          <w:rFonts w:asciiTheme="minorHAnsi" w:hAnsiTheme="minorHAnsi" w:cstheme="minorHAnsi"/>
          <w:color w:val="000000"/>
          <w:sz w:val="24"/>
          <w:szCs w:val="24"/>
        </w:rPr>
        <w:t xml:space="preserve"> occurred in 2.1% (39/1889) of patients receiving IMFINZI. </w:t>
      </w:r>
    </w:p>
    <w:p w14:paraId="0FB275DA" w14:textId="77777777" w:rsidR="00F51336" w:rsidRPr="00F51336" w:rsidRDefault="00F51336" w:rsidP="00F51336">
      <w:pPr>
        <w:pStyle w:val="NoSpacing"/>
        <w:numPr>
          <w:ilvl w:val="0"/>
          <w:numId w:val="7"/>
        </w:numPr>
        <w:rPr>
          <w:rFonts w:asciiTheme="minorHAnsi" w:hAnsiTheme="minorHAnsi" w:cstheme="minorHAnsi"/>
          <w:color w:val="000000"/>
          <w:sz w:val="24"/>
          <w:szCs w:val="24"/>
        </w:rPr>
      </w:pPr>
      <w:r w:rsidRPr="00F51336">
        <w:rPr>
          <w:rFonts w:asciiTheme="minorHAnsi" w:hAnsiTheme="minorHAnsi" w:cstheme="minorHAnsi"/>
          <w:b/>
          <w:bCs/>
          <w:i/>
          <w:sz w:val="24"/>
          <w:szCs w:val="24"/>
        </w:rPr>
        <w:t>Hypothyroidism</w:t>
      </w:r>
      <w:r w:rsidRPr="00F51336">
        <w:rPr>
          <w:rFonts w:asciiTheme="minorHAnsi" w:hAnsiTheme="minorHAnsi" w:cstheme="minorHAnsi"/>
          <w:iCs/>
          <w:sz w:val="24"/>
          <w:szCs w:val="24"/>
        </w:rPr>
        <w:t>:</w:t>
      </w:r>
      <w:r w:rsidRPr="00F51336">
        <w:rPr>
          <w:rFonts w:asciiTheme="minorHAnsi" w:hAnsiTheme="minorHAnsi" w:cstheme="minorHAnsi"/>
          <w:b/>
          <w:bCs/>
          <w:iCs/>
          <w:sz w:val="24"/>
          <w:szCs w:val="24"/>
        </w:rPr>
        <w:t xml:space="preserve"> </w:t>
      </w:r>
      <w:r w:rsidRPr="00F51336">
        <w:rPr>
          <w:rFonts w:asciiTheme="minorHAnsi" w:hAnsiTheme="minorHAnsi" w:cstheme="minorHAnsi"/>
          <w:sz w:val="24"/>
          <w:szCs w:val="24"/>
        </w:rPr>
        <w:t>Immune-mediated hypothyroidism</w:t>
      </w:r>
      <w:r w:rsidRPr="00F51336">
        <w:rPr>
          <w:rFonts w:asciiTheme="minorHAnsi" w:hAnsiTheme="minorHAnsi" w:cstheme="minorHAnsi"/>
          <w:color w:val="000000"/>
          <w:sz w:val="24"/>
          <w:szCs w:val="24"/>
        </w:rPr>
        <w:t xml:space="preserve"> occurred in 8.3% (156/1889) of patients receiving IMFINZI, including Grade 3 (&lt;0.1%) adverse reactions. </w:t>
      </w:r>
    </w:p>
    <w:p w14:paraId="4C5FE058" w14:textId="77777777" w:rsidR="00F51336" w:rsidRPr="00F51336" w:rsidRDefault="00F51336" w:rsidP="00F51336">
      <w:pPr>
        <w:pStyle w:val="NoSpacing"/>
        <w:numPr>
          <w:ilvl w:val="0"/>
          <w:numId w:val="7"/>
        </w:numPr>
        <w:rPr>
          <w:rFonts w:asciiTheme="minorHAnsi" w:hAnsiTheme="minorHAnsi" w:cstheme="minorHAnsi"/>
          <w:color w:val="000000"/>
          <w:sz w:val="24"/>
          <w:szCs w:val="24"/>
        </w:rPr>
      </w:pPr>
      <w:r w:rsidRPr="00F51336">
        <w:rPr>
          <w:rFonts w:asciiTheme="minorHAnsi" w:hAnsiTheme="minorHAnsi" w:cstheme="minorHAnsi"/>
          <w:b/>
          <w:bCs/>
          <w:i/>
          <w:color w:val="000000"/>
          <w:sz w:val="24"/>
          <w:szCs w:val="24"/>
        </w:rPr>
        <w:t>Type 1 Diabetes Mellitus, which can present with diabetic ketoacidosis</w:t>
      </w:r>
      <w:r w:rsidRPr="00F51336">
        <w:rPr>
          <w:rFonts w:asciiTheme="minorHAnsi" w:hAnsiTheme="minorHAnsi" w:cstheme="minorHAnsi"/>
          <w:color w:val="000000"/>
          <w:sz w:val="24"/>
          <w:szCs w:val="24"/>
        </w:rPr>
        <w:t xml:space="preserve">: Monitor patients for hyperglycemia or other signs and symptoms of diabetes. Initiate treatment with insulin as clinically indicated. </w:t>
      </w:r>
      <w:r w:rsidRPr="00F51336">
        <w:rPr>
          <w:rFonts w:asciiTheme="minorHAnsi" w:hAnsiTheme="minorHAnsi" w:cstheme="minorHAnsi"/>
          <w:sz w:val="24"/>
          <w:szCs w:val="24"/>
          <w:lang w:eastAsia="en-GB"/>
        </w:rPr>
        <w:t xml:space="preserve">Grade 3 immune-mediated Type 1 </w:t>
      </w:r>
      <w:r w:rsidRPr="00F51336">
        <w:rPr>
          <w:rFonts w:asciiTheme="minorHAnsi" w:hAnsiTheme="minorHAnsi" w:cstheme="minorHAnsi"/>
          <w:color w:val="000000"/>
          <w:sz w:val="24"/>
          <w:szCs w:val="24"/>
        </w:rPr>
        <w:t>diabetes mellitus</w:t>
      </w:r>
      <w:r w:rsidRPr="00F51336">
        <w:rPr>
          <w:rFonts w:asciiTheme="minorHAnsi" w:hAnsiTheme="minorHAnsi" w:cstheme="minorHAnsi"/>
          <w:sz w:val="24"/>
          <w:szCs w:val="24"/>
          <w:lang w:eastAsia="en-GB"/>
        </w:rPr>
        <w:t xml:space="preserve"> occurred in &lt;0.1% (1/1889) of patients receiving IMFINZI. </w:t>
      </w:r>
    </w:p>
    <w:p w14:paraId="3B477FE6" w14:textId="77777777" w:rsidR="00E60922" w:rsidRDefault="00E60922" w:rsidP="00E60922">
      <w:pPr>
        <w:pStyle w:val="NoSpacing"/>
        <w:rPr>
          <w:rFonts w:asciiTheme="minorHAnsi" w:hAnsiTheme="minorHAnsi" w:cstheme="minorHAnsi"/>
          <w:color w:val="000000"/>
          <w:sz w:val="24"/>
          <w:szCs w:val="24"/>
        </w:rPr>
      </w:pPr>
    </w:p>
    <w:p w14:paraId="1A9DE036" w14:textId="77777777" w:rsidR="00E60922" w:rsidRDefault="00F51336" w:rsidP="00E60922">
      <w:pPr>
        <w:ind w:left="-432"/>
        <w:rPr>
          <w:b/>
          <w:bCs/>
          <w:color w:val="000000" w:themeColor="text1"/>
          <w:u w:val="single"/>
        </w:rPr>
      </w:pPr>
      <w:r w:rsidRPr="00E60922">
        <w:rPr>
          <w:b/>
          <w:bCs/>
          <w:color w:val="000000" w:themeColor="text1"/>
          <w:u w:val="single"/>
        </w:rPr>
        <w:t>Immune-Mediated Nephritis with Renal Dysfunction</w:t>
      </w:r>
    </w:p>
    <w:p w14:paraId="34A83757" w14:textId="38BBE06F" w:rsidR="00F51336" w:rsidRPr="00E60922" w:rsidRDefault="00F51336" w:rsidP="00E60922">
      <w:pPr>
        <w:ind w:left="-432"/>
        <w:rPr>
          <w:b/>
          <w:bCs/>
          <w:color w:val="000000" w:themeColor="text1"/>
          <w:u w:val="single"/>
        </w:rPr>
      </w:pPr>
      <w:r w:rsidRPr="00E60922">
        <w:rPr>
          <w:rFonts w:cstheme="minorHAnsi"/>
        </w:rPr>
        <w:t>IMFINZI can cause immune-mediated nephritis. Immune-mediated nephritis occurred in 0.5% (10/1889) of patients receiving IMFINZI, including Grade 3 (&lt;0.1%) adverse reactions.</w:t>
      </w:r>
    </w:p>
    <w:p w14:paraId="6060D3A5" w14:textId="77777777" w:rsidR="00F51336" w:rsidRDefault="00F51336" w:rsidP="00F51336">
      <w:pPr>
        <w:ind w:left="-432"/>
        <w:rPr>
          <w:color w:val="000000" w:themeColor="text1"/>
        </w:rPr>
      </w:pPr>
    </w:p>
    <w:p w14:paraId="2D6B5CDB" w14:textId="77777777" w:rsidR="00F51336" w:rsidRPr="00E60922" w:rsidRDefault="00F51336" w:rsidP="00E60922">
      <w:pPr>
        <w:ind w:left="-432"/>
        <w:rPr>
          <w:b/>
          <w:bCs/>
          <w:color w:val="000000" w:themeColor="text1"/>
          <w:u w:val="single"/>
        </w:rPr>
      </w:pPr>
      <w:r w:rsidRPr="00E60922">
        <w:rPr>
          <w:b/>
          <w:bCs/>
          <w:color w:val="000000" w:themeColor="text1"/>
          <w:u w:val="single"/>
        </w:rPr>
        <w:t xml:space="preserve">Immune-Mediated Dermatology Reactions </w:t>
      </w:r>
    </w:p>
    <w:p w14:paraId="0AD5FFB9" w14:textId="3DC7103A" w:rsidR="00F51336" w:rsidRPr="00E60922" w:rsidRDefault="00F51336" w:rsidP="00E60922">
      <w:pPr>
        <w:ind w:left="-432"/>
        <w:rPr>
          <w:rFonts w:cstheme="minorHAnsi"/>
        </w:rPr>
      </w:pPr>
      <w:r w:rsidRPr="00F51336">
        <w:rPr>
          <w:rFonts w:cstheme="minorHAnsi"/>
        </w:rPr>
        <w:t xml:space="preserve">IMFINZI can cause immune-mediated rash or dermatitis. Exfoliative dermatitis, including </w:t>
      </w:r>
      <w:r w:rsidR="00753D3D">
        <w:rPr>
          <w:rFonts w:cstheme="minorHAnsi"/>
        </w:rPr>
        <w:br/>
      </w:r>
      <w:r w:rsidRPr="00F51336">
        <w:rPr>
          <w:rFonts w:cstheme="minorHAnsi"/>
        </w:rPr>
        <w:t>Stevens-Johnson Syndrome (SJS), drug rash with eosinophilia and systemic symptoms (DRESS), and toxic epidermal necrolysis (TEN), has occurred with PD-1/L-1 blocking antibodies. Topical emollients and/or topical corticosteroids may be adequate to treat mild to moderate non-exfoliative rashes. Immune-mediated rash or dermatitis occurred in 1.8% (34/1889)</w:t>
      </w:r>
      <w:r w:rsidRPr="00E60922">
        <w:rPr>
          <w:rFonts w:cstheme="minorHAnsi"/>
        </w:rPr>
        <w:t xml:space="preserve"> of patients receiving IMFINZI, including Grade 3 (0.4%) adverse reactions. </w:t>
      </w:r>
    </w:p>
    <w:p w14:paraId="4EC01E98" w14:textId="77777777" w:rsidR="00F51336" w:rsidRPr="00F51336" w:rsidRDefault="00F51336" w:rsidP="00F51336">
      <w:pPr>
        <w:pStyle w:val="NoSpacing"/>
        <w:rPr>
          <w:rFonts w:asciiTheme="minorHAnsi" w:hAnsiTheme="minorHAnsi" w:cstheme="minorHAnsi"/>
          <w:sz w:val="24"/>
          <w:szCs w:val="24"/>
        </w:rPr>
      </w:pPr>
    </w:p>
    <w:p w14:paraId="3B628483" w14:textId="77777777" w:rsidR="00F51336" w:rsidRPr="00E60922" w:rsidRDefault="00F51336" w:rsidP="00E60922">
      <w:pPr>
        <w:ind w:left="-432"/>
        <w:rPr>
          <w:b/>
          <w:bCs/>
          <w:color w:val="000000" w:themeColor="text1"/>
          <w:u w:val="single"/>
        </w:rPr>
      </w:pPr>
      <w:r w:rsidRPr="00E60922">
        <w:rPr>
          <w:b/>
          <w:bCs/>
          <w:color w:val="000000" w:themeColor="text1"/>
          <w:u w:val="single"/>
        </w:rPr>
        <w:t>Other Immune-Mediated Adverse Reactions</w:t>
      </w:r>
    </w:p>
    <w:p w14:paraId="4D826085" w14:textId="74E63EE7" w:rsidR="00F51336" w:rsidRPr="00F51336" w:rsidRDefault="00F51336" w:rsidP="00E60922">
      <w:pPr>
        <w:ind w:left="-432"/>
        <w:rPr>
          <w:rFonts w:cstheme="minorHAnsi"/>
        </w:rPr>
      </w:pPr>
      <w:r w:rsidRPr="00F51336">
        <w:rPr>
          <w:rFonts w:cstheme="minorHAnsi"/>
        </w:rPr>
        <w:t xml:space="preserve">The following clinically significant, immune-mediated adverse reactions occurred at an incidence of less than 1% each in patients who received IMFINZI or were reported with the use of other </w:t>
      </w:r>
      <w:r w:rsidR="00A116D7">
        <w:rPr>
          <w:rFonts w:cstheme="minorHAnsi"/>
        </w:rPr>
        <w:br/>
      </w:r>
      <w:r w:rsidRPr="00F51336">
        <w:rPr>
          <w:rFonts w:cstheme="minorHAnsi"/>
        </w:rPr>
        <w:t xml:space="preserve">PD-1/PD-L1 blocking antibodies. </w:t>
      </w:r>
    </w:p>
    <w:p w14:paraId="1DBD9A5F" w14:textId="77777777" w:rsidR="00F51336" w:rsidRPr="00F51336" w:rsidRDefault="00F51336" w:rsidP="00F51336">
      <w:pPr>
        <w:pStyle w:val="NoSpacing"/>
        <w:numPr>
          <w:ilvl w:val="0"/>
          <w:numId w:val="10"/>
        </w:numPr>
        <w:rPr>
          <w:rFonts w:asciiTheme="minorHAnsi" w:hAnsiTheme="minorHAnsi" w:cstheme="minorHAnsi"/>
          <w:color w:val="000000"/>
          <w:sz w:val="24"/>
          <w:szCs w:val="24"/>
        </w:rPr>
      </w:pPr>
      <w:r w:rsidRPr="00F51336">
        <w:rPr>
          <w:rFonts w:asciiTheme="minorHAnsi" w:hAnsiTheme="minorHAnsi" w:cstheme="minorHAnsi"/>
          <w:b/>
          <w:i/>
          <w:color w:val="000000"/>
          <w:sz w:val="24"/>
          <w:szCs w:val="24"/>
        </w:rPr>
        <w:t>Cardiac/vascular</w:t>
      </w:r>
      <w:r w:rsidRPr="00F51336">
        <w:rPr>
          <w:rFonts w:asciiTheme="minorHAnsi" w:hAnsiTheme="minorHAnsi" w:cstheme="minorHAnsi"/>
          <w:bCs/>
          <w:iCs/>
          <w:color w:val="000000"/>
          <w:sz w:val="24"/>
          <w:szCs w:val="24"/>
        </w:rPr>
        <w:t xml:space="preserve">: </w:t>
      </w:r>
      <w:r w:rsidRPr="00F51336">
        <w:rPr>
          <w:rFonts w:asciiTheme="minorHAnsi" w:hAnsiTheme="minorHAnsi" w:cstheme="minorHAnsi"/>
          <w:color w:val="000000"/>
          <w:sz w:val="24"/>
          <w:szCs w:val="24"/>
        </w:rPr>
        <w:t xml:space="preserve">Myocarditis, pericarditis, vasculitis. </w:t>
      </w:r>
    </w:p>
    <w:p w14:paraId="0DD7F001" w14:textId="77777777" w:rsidR="00F51336" w:rsidRPr="00F51336" w:rsidRDefault="00F51336" w:rsidP="00F51336">
      <w:pPr>
        <w:pStyle w:val="NoSpacing"/>
        <w:numPr>
          <w:ilvl w:val="0"/>
          <w:numId w:val="10"/>
        </w:numPr>
        <w:rPr>
          <w:rFonts w:asciiTheme="minorHAnsi" w:hAnsiTheme="minorHAnsi" w:cstheme="minorHAnsi"/>
          <w:color w:val="000000"/>
          <w:sz w:val="24"/>
          <w:szCs w:val="24"/>
        </w:rPr>
      </w:pPr>
      <w:r w:rsidRPr="00F51336">
        <w:rPr>
          <w:rFonts w:asciiTheme="minorHAnsi" w:hAnsiTheme="minorHAnsi" w:cstheme="minorHAnsi"/>
          <w:b/>
          <w:i/>
          <w:color w:val="000000"/>
          <w:sz w:val="24"/>
          <w:szCs w:val="24"/>
        </w:rPr>
        <w:t>Nervous system</w:t>
      </w:r>
      <w:r w:rsidRPr="00F51336">
        <w:rPr>
          <w:rFonts w:asciiTheme="minorHAnsi" w:hAnsiTheme="minorHAnsi" w:cstheme="minorHAnsi"/>
          <w:bCs/>
          <w:iCs/>
          <w:color w:val="000000"/>
          <w:sz w:val="24"/>
          <w:szCs w:val="24"/>
        </w:rPr>
        <w:t xml:space="preserve">: </w:t>
      </w:r>
      <w:r w:rsidRPr="00F51336">
        <w:rPr>
          <w:rFonts w:asciiTheme="minorHAnsi" w:hAnsiTheme="minorHAnsi" w:cstheme="minorHAnsi"/>
          <w:color w:val="000000"/>
          <w:sz w:val="24"/>
          <w:szCs w:val="24"/>
        </w:rPr>
        <w:t>Meningitis, encephalitis, myelitis and demyelination, myasthenic syndrome/myasthenia gravis (including exacerbation), Guillain-Barré syndrome, nerve paresis, autoimmune neuropathy.</w:t>
      </w:r>
    </w:p>
    <w:p w14:paraId="301F0066" w14:textId="77777777" w:rsidR="00F51336" w:rsidRPr="00F51336" w:rsidRDefault="00F51336" w:rsidP="00F51336">
      <w:pPr>
        <w:pStyle w:val="NoSpacing"/>
        <w:numPr>
          <w:ilvl w:val="0"/>
          <w:numId w:val="10"/>
        </w:numPr>
        <w:rPr>
          <w:rFonts w:asciiTheme="minorHAnsi" w:hAnsiTheme="minorHAnsi" w:cstheme="minorHAnsi"/>
          <w:color w:val="000000"/>
          <w:sz w:val="24"/>
          <w:szCs w:val="24"/>
        </w:rPr>
      </w:pPr>
      <w:r w:rsidRPr="00F51336">
        <w:rPr>
          <w:rFonts w:asciiTheme="minorHAnsi" w:hAnsiTheme="minorHAnsi" w:cstheme="minorHAnsi"/>
          <w:b/>
          <w:i/>
          <w:color w:val="000000"/>
          <w:sz w:val="24"/>
          <w:szCs w:val="24"/>
        </w:rPr>
        <w:t>Ocular</w:t>
      </w:r>
      <w:r w:rsidRPr="00F51336">
        <w:rPr>
          <w:rFonts w:asciiTheme="minorHAnsi" w:hAnsiTheme="minorHAnsi" w:cstheme="minorHAnsi"/>
          <w:bCs/>
          <w:iCs/>
          <w:color w:val="000000"/>
          <w:sz w:val="24"/>
          <w:szCs w:val="24"/>
        </w:rPr>
        <w:t xml:space="preserve">: </w:t>
      </w:r>
      <w:r w:rsidRPr="00F51336">
        <w:rPr>
          <w:rFonts w:asciiTheme="minorHAnsi" w:hAnsiTheme="minorHAnsi" w:cstheme="minorHAnsi"/>
          <w:color w:val="000000"/>
          <w:sz w:val="24"/>
          <w:szCs w:val="24"/>
        </w:rPr>
        <w:t>Uveitis, iritis, and other ocular inflammatory toxicities can occur. Some cases can be associated with retinal detachment. Various grades of visual impairment to include blindness can occur. If uveitis occurs in combination with other immune-mediated adverse reactions, consider a Vogt-Koyanagi-Harada-like syndrome, as this may require treatment with systemic steroids to reduce the risk of permanent vision loss.</w:t>
      </w:r>
    </w:p>
    <w:p w14:paraId="305F1F13" w14:textId="77777777" w:rsidR="00F51336" w:rsidRPr="00F51336" w:rsidRDefault="00F51336" w:rsidP="00F51336">
      <w:pPr>
        <w:pStyle w:val="NoSpacing"/>
        <w:numPr>
          <w:ilvl w:val="0"/>
          <w:numId w:val="10"/>
        </w:numPr>
        <w:rPr>
          <w:rFonts w:asciiTheme="minorHAnsi" w:hAnsiTheme="minorHAnsi" w:cstheme="minorHAnsi"/>
          <w:color w:val="000000"/>
          <w:sz w:val="24"/>
          <w:szCs w:val="24"/>
        </w:rPr>
      </w:pPr>
      <w:r w:rsidRPr="00F51336">
        <w:rPr>
          <w:rFonts w:asciiTheme="minorHAnsi" w:hAnsiTheme="minorHAnsi" w:cstheme="minorHAnsi"/>
          <w:b/>
          <w:i/>
          <w:color w:val="000000"/>
          <w:sz w:val="24"/>
          <w:szCs w:val="24"/>
        </w:rPr>
        <w:t>Gastrointestinal</w:t>
      </w:r>
      <w:r w:rsidRPr="00F51336">
        <w:rPr>
          <w:rFonts w:asciiTheme="minorHAnsi" w:hAnsiTheme="minorHAnsi" w:cstheme="minorHAnsi"/>
          <w:bCs/>
          <w:iCs/>
          <w:color w:val="000000"/>
          <w:sz w:val="24"/>
          <w:szCs w:val="24"/>
        </w:rPr>
        <w:t xml:space="preserve">: </w:t>
      </w:r>
      <w:r w:rsidRPr="00F51336">
        <w:rPr>
          <w:rFonts w:asciiTheme="minorHAnsi" w:hAnsiTheme="minorHAnsi" w:cstheme="minorHAnsi"/>
          <w:color w:val="000000"/>
          <w:sz w:val="24"/>
          <w:szCs w:val="24"/>
        </w:rPr>
        <w:t>Pancreatitis including increases in serum amylase and lipase levels, gastritis, duodenitis.</w:t>
      </w:r>
    </w:p>
    <w:p w14:paraId="4C37E375" w14:textId="77777777" w:rsidR="00F51336" w:rsidRPr="00F51336" w:rsidRDefault="00F51336" w:rsidP="00F51336">
      <w:pPr>
        <w:pStyle w:val="NoSpacing"/>
        <w:numPr>
          <w:ilvl w:val="0"/>
          <w:numId w:val="10"/>
        </w:numPr>
        <w:rPr>
          <w:rFonts w:asciiTheme="minorHAnsi" w:hAnsiTheme="minorHAnsi" w:cstheme="minorHAnsi"/>
          <w:color w:val="000000"/>
          <w:sz w:val="24"/>
          <w:szCs w:val="24"/>
        </w:rPr>
      </w:pPr>
      <w:r w:rsidRPr="00F51336">
        <w:rPr>
          <w:rFonts w:asciiTheme="minorHAnsi" w:hAnsiTheme="minorHAnsi" w:cstheme="minorHAnsi"/>
          <w:b/>
          <w:i/>
          <w:color w:val="000000"/>
          <w:sz w:val="24"/>
          <w:szCs w:val="24"/>
        </w:rPr>
        <w:lastRenderedPageBreak/>
        <w:t>Musculoskeletal and connective tissue disorders</w:t>
      </w:r>
      <w:r w:rsidRPr="00F51336">
        <w:rPr>
          <w:rFonts w:asciiTheme="minorHAnsi" w:hAnsiTheme="minorHAnsi" w:cstheme="minorHAnsi"/>
          <w:bCs/>
          <w:iCs/>
          <w:color w:val="000000"/>
          <w:sz w:val="24"/>
          <w:szCs w:val="24"/>
        </w:rPr>
        <w:t>:</w:t>
      </w:r>
      <w:r w:rsidRPr="00F51336">
        <w:rPr>
          <w:rFonts w:asciiTheme="minorHAnsi" w:hAnsiTheme="minorHAnsi" w:cstheme="minorHAnsi"/>
          <w:color w:val="000000"/>
          <w:sz w:val="24"/>
          <w:szCs w:val="24"/>
        </w:rPr>
        <w:t xml:space="preserve"> Myositis/polymyositis, rhabdomyolysis and associated sequelae including renal failure, arthritis, polymyalgia rheumatic.</w:t>
      </w:r>
    </w:p>
    <w:p w14:paraId="171DEB41" w14:textId="2D759219" w:rsidR="00F51336" w:rsidRPr="00F51336" w:rsidRDefault="00F51336" w:rsidP="00F51336">
      <w:pPr>
        <w:pStyle w:val="NoSpacing"/>
        <w:numPr>
          <w:ilvl w:val="0"/>
          <w:numId w:val="10"/>
        </w:numPr>
        <w:rPr>
          <w:rFonts w:asciiTheme="minorHAnsi" w:hAnsiTheme="minorHAnsi" w:cstheme="minorHAnsi"/>
          <w:color w:val="000000"/>
          <w:sz w:val="24"/>
          <w:szCs w:val="24"/>
        </w:rPr>
      </w:pPr>
      <w:r w:rsidRPr="00F51336">
        <w:rPr>
          <w:rFonts w:asciiTheme="minorHAnsi" w:hAnsiTheme="minorHAnsi" w:cstheme="minorHAnsi"/>
          <w:b/>
          <w:i/>
          <w:color w:val="000000"/>
          <w:sz w:val="24"/>
          <w:szCs w:val="24"/>
        </w:rPr>
        <w:t>Endocrine</w:t>
      </w:r>
      <w:r w:rsidRPr="00F51336">
        <w:rPr>
          <w:rFonts w:asciiTheme="minorHAnsi" w:hAnsiTheme="minorHAnsi" w:cstheme="minorHAnsi"/>
          <w:bCs/>
          <w:iCs/>
          <w:color w:val="000000"/>
          <w:sz w:val="24"/>
          <w:szCs w:val="24"/>
        </w:rPr>
        <w:t xml:space="preserve">: </w:t>
      </w:r>
      <w:r w:rsidRPr="00F51336">
        <w:rPr>
          <w:rFonts w:asciiTheme="minorHAnsi" w:hAnsiTheme="minorHAnsi" w:cstheme="minorHAnsi"/>
          <w:color w:val="000000"/>
          <w:sz w:val="24"/>
          <w:szCs w:val="24"/>
        </w:rPr>
        <w:t>Hypoparathyroidism.</w:t>
      </w:r>
      <w:r w:rsidR="00526897">
        <w:rPr>
          <w:rFonts w:asciiTheme="minorHAnsi" w:hAnsiTheme="minorHAnsi" w:cstheme="minorHAnsi"/>
          <w:color w:val="000000"/>
          <w:sz w:val="24"/>
          <w:szCs w:val="24"/>
        </w:rPr>
        <w:t xml:space="preserve"> </w:t>
      </w:r>
    </w:p>
    <w:p w14:paraId="22E56002" w14:textId="71D6D7BB" w:rsidR="00F51336" w:rsidRPr="00526897" w:rsidRDefault="00F51336" w:rsidP="00526897">
      <w:pPr>
        <w:pStyle w:val="ListParagraph"/>
        <w:numPr>
          <w:ilvl w:val="0"/>
          <w:numId w:val="10"/>
        </w:numPr>
        <w:rPr>
          <w:rFonts w:cstheme="minorHAnsi"/>
          <w:color w:val="000000" w:themeColor="text1"/>
        </w:rPr>
      </w:pPr>
      <w:r w:rsidRPr="00526897">
        <w:rPr>
          <w:rFonts w:cstheme="minorHAnsi"/>
          <w:b/>
          <w:i/>
          <w:color w:val="000000"/>
        </w:rPr>
        <w:t>Other (hematologic/immune)</w:t>
      </w:r>
      <w:r w:rsidRPr="00526897">
        <w:rPr>
          <w:rFonts w:cstheme="minorHAnsi"/>
          <w:bCs/>
          <w:iCs/>
          <w:color w:val="000000"/>
        </w:rPr>
        <w:t xml:space="preserve">: </w:t>
      </w:r>
      <w:r w:rsidRPr="00526897">
        <w:rPr>
          <w:rFonts w:cstheme="minorHAnsi"/>
          <w:color w:val="000000"/>
        </w:rPr>
        <w:t xml:space="preserve">Hemolytic anemia, aplastic anemia, hemophagocytic lymphohistiocytosis, systemic </w:t>
      </w:r>
      <w:r w:rsidRPr="00526897">
        <w:rPr>
          <w:rFonts w:cstheme="minorHAnsi"/>
        </w:rPr>
        <w:t>inflammatory response syndrome, histiocytic necrotizing lymphadenitis (Kikuchi lymphadenitis), sarcoidosis, immune thrombocytopenia, solid organ transplant rejection, other transplant (including corneal graft) rejection.</w:t>
      </w:r>
    </w:p>
    <w:p w14:paraId="3E704B67" w14:textId="77777777" w:rsidR="00E60922" w:rsidRDefault="00E60922" w:rsidP="00E60922">
      <w:pPr>
        <w:pStyle w:val="NoSpacing"/>
        <w:rPr>
          <w:rFonts w:asciiTheme="minorHAnsi" w:hAnsiTheme="minorHAnsi" w:cstheme="minorHAnsi"/>
          <w:b/>
          <w:bCs/>
          <w:sz w:val="24"/>
          <w:szCs w:val="24"/>
        </w:rPr>
      </w:pPr>
    </w:p>
    <w:p w14:paraId="48AB0E50" w14:textId="50433C62" w:rsidR="00E60922" w:rsidRPr="001D0EA9" w:rsidRDefault="00E60922" w:rsidP="001D0EA9">
      <w:pPr>
        <w:ind w:left="-432"/>
        <w:rPr>
          <w:b/>
          <w:bCs/>
          <w:color w:val="000000" w:themeColor="text1"/>
        </w:rPr>
      </w:pPr>
      <w:r w:rsidRPr="001D0EA9">
        <w:rPr>
          <w:b/>
          <w:bCs/>
          <w:color w:val="000000" w:themeColor="text1"/>
        </w:rPr>
        <w:t>Infusion-Related Reactions</w:t>
      </w:r>
    </w:p>
    <w:p w14:paraId="6550F8BD" w14:textId="0A8F1C0F" w:rsidR="00E60922" w:rsidRPr="00E60922" w:rsidRDefault="00E60922" w:rsidP="001D0EA9">
      <w:pPr>
        <w:ind w:left="-432"/>
        <w:rPr>
          <w:rFonts w:cstheme="minorHAnsi"/>
        </w:rPr>
      </w:pPr>
      <w:r w:rsidRPr="00E60922">
        <w:rPr>
          <w:rFonts w:cstheme="minorHAnsi"/>
        </w:rPr>
        <w:t>IMFINZI can cause severe or life-threatening infusion-related reactions.</w:t>
      </w:r>
      <w:r w:rsidRPr="001D0EA9">
        <w:rPr>
          <w:rFonts w:cstheme="minorHAnsi"/>
        </w:rPr>
        <w:t xml:space="preserve"> Monitor for signs and symptoms of infusion-related reactions. Interrupt, slow the rate of, or permanently discontinue IMFINZI based on the severity</w:t>
      </w:r>
      <w:r w:rsidRPr="00E60922">
        <w:rPr>
          <w:rFonts w:cstheme="minorHAnsi"/>
        </w:rPr>
        <w:t xml:space="preserve">. See USPI Dosing and Administration for specific details. </w:t>
      </w:r>
      <w:r w:rsidRPr="001D0EA9">
        <w:rPr>
          <w:rFonts w:cstheme="minorHAnsi"/>
        </w:rPr>
        <w:t>For Grade 1 or 2 infusion-related reactions, consider using pre-medications with subsequent doses.</w:t>
      </w:r>
      <w:r w:rsidRPr="00E60922">
        <w:rPr>
          <w:rFonts w:cstheme="minorHAnsi"/>
        </w:rPr>
        <w:t xml:space="preserve"> Infusion-related reactions occurred in 2.2% (42/1889) of patients receiving IMFINZI, including Grade 3 (0.3%) adverse reactions.</w:t>
      </w:r>
    </w:p>
    <w:p w14:paraId="6E635727" w14:textId="77777777" w:rsidR="00E60922" w:rsidRPr="00E60922" w:rsidRDefault="00E60922" w:rsidP="00E60922">
      <w:pPr>
        <w:pStyle w:val="NoSpacing"/>
        <w:rPr>
          <w:rFonts w:asciiTheme="minorHAnsi" w:hAnsiTheme="minorHAnsi" w:cstheme="minorHAnsi"/>
          <w:sz w:val="24"/>
          <w:szCs w:val="24"/>
        </w:rPr>
      </w:pPr>
    </w:p>
    <w:p w14:paraId="741373F8" w14:textId="77777777" w:rsidR="00E60922" w:rsidRPr="001D0EA9" w:rsidRDefault="00E60922" w:rsidP="001D0EA9">
      <w:pPr>
        <w:ind w:left="-432"/>
        <w:rPr>
          <w:b/>
          <w:bCs/>
          <w:color w:val="000000" w:themeColor="text1"/>
        </w:rPr>
      </w:pPr>
      <w:r w:rsidRPr="001D0EA9">
        <w:rPr>
          <w:b/>
          <w:bCs/>
          <w:color w:val="000000" w:themeColor="text1"/>
        </w:rPr>
        <w:t>Complications of Allogeneic HSCT after IMFINZI</w:t>
      </w:r>
    </w:p>
    <w:p w14:paraId="2954D43A" w14:textId="77777777" w:rsidR="00E60922" w:rsidRPr="00E60922" w:rsidRDefault="00E60922" w:rsidP="001D0EA9">
      <w:pPr>
        <w:ind w:left="-432"/>
        <w:rPr>
          <w:rFonts w:cstheme="minorHAnsi"/>
        </w:rPr>
      </w:pPr>
      <w:r w:rsidRPr="00E60922">
        <w:rPr>
          <w:rFonts w:cstheme="minorHAnsi"/>
        </w:rPr>
        <w:t>Fatal and other serious complications can occur in patients who receive allogeneic hematopoietic stem cell transplantation (HSCT) before or after being treated with a PD-1/L-1 blocking antibody. Transplant-related complications include hyperacute graft-versus-host disease (GVHD), acute GVHD, chronic GVHD, hepatic veno-occlusive disease (VOD) after reduced intensity conditioning, and steroid-requiring febrile syndrome (without an identified infectious cause). These complications may occur despite intervening therapy between PD-1/L-1 blockade and allogeneic HSCT. Follow patients closely for evidence of transplant-related complications and intervene promptly. Consider the benefit versus risks of treatment with a PD-1/L-1 blocking antibody prior to or after an allogeneic HSCT.</w:t>
      </w:r>
    </w:p>
    <w:p w14:paraId="365E7489" w14:textId="77777777" w:rsidR="00E60922" w:rsidRPr="00654DDF" w:rsidRDefault="00E60922" w:rsidP="00654DDF">
      <w:pPr>
        <w:ind w:left="-432"/>
        <w:rPr>
          <w:b/>
          <w:bCs/>
          <w:color w:val="000000" w:themeColor="text1"/>
        </w:rPr>
      </w:pPr>
    </w:p>
    <w:p w14:paraId="60A97FD6" w14:textId="77777777" w:rsidR="00E60922" w:rsidRPr="00654DDF" w:rsidRDefault="00E60922" w:rsidP="00654DDF">
      <w:pPr>
        <w:ind w:left="-432"/>
        <w:rPr>
          <w:b/>
          <w:bCs/>
          <w:color w:val="000000" w:themeColor="text1"/>
        </w:rPr>
      </w:pPr>
      <w:r w:rsidRPr="00654DDF">
        <w:rPr>
          <w:b/>
          <w:bCs/>
          <w:color w:val="000000" w:themeColor="text1"/>
        </w:rPr>
        <w:t>Embryo-Fetal Toxicity</w:t>
      </w:r>
    </w:p>
    <w:p w14:paraId="619A2D4D" w14:textId="77777777" w:rsidR="00E60922" w:rsidRPr="00654DDF" w:rsidRDefault="00E60922" w:rsidP="00654DDF">
      <w:pPr>
        <w:ind w:left="-432"/>
        <w:rPr>
          <w:rFonts w:cstheme="minorHAnsi"/>
        </w:rPr>
      </w:pPr>
      <w:r w:rsidRPr="00E60922">
        <w:rPr>
          <w:rFonts w:cstheme="minorHAnsi"/>
        </w:rPr>
        <w:t xml:space="preserve">Based on its mechanism of action and data from animal studies, </w:t>
      </w:r>
      <w:r w:rsidRPr="00654DDF">
        <w:rPr>
          <w:rFonts w:cstheme="minorHAnsi"/>
        </w:rPr>
        <w:t xml:space="preserve">IMFINZI </w:t>
      </w:r>
      <w:r w:rsidRPr="00E60922">
        <w:rPr>
          <w:rFonts w:cstheme="minorHAnsi"/>
        </w:rPr>
        <w:t xml:space="preserve">can cause fetal harm when administered to a pregnant woman. Advise pregnant women of the potential risk to a fetus. In females of reproductive potential, verify pregnancy status prior to initiating IMFINZI and advise them to use effective contraception during treatment with </w:t>
      </w:r>
      <w:r w:rsidRPr="00654DDF">
        <w:rPr>
          <w:rFonts w:cstheme="minorHAnsi"/>
        </w:rPr>
        <w:t xml:space="preserve">IMFINZI </w:t>
      </w:r>
      <w:r w:rsidRPr="00E60922">
        <w:rPr>
          <w:rFonts w:cstheme="minorHAnsi"/>
        </w:rPr>
        <w:t xml:space="preserve">and for 3 months after the last dose of </w:t>
      </w:r>
      <w:r w:rsidRPr="00654DDF">
        <w:rPr>
          <w:rFonts w:cstheme="minorHAnsi"/>
        </w:rPr>
        <w:t>IMFINZI.</w:t>
      </w:r>
    </w:p>
    <w:p w14:paraId="16FA447E" w14:textId="77777777" w:rsidR="00E60922" w:rsidRDefault="00E60922" w:rsidP="00E60922">
      <w:pPr>
        <w:ind w:left="360"/>
        <w:rPr>
          <w:rFonts w:eastAsia="Calibri" w:cstheme="minorHAnsi"/>
        </w:rPr>
      </w:pPr>
    </w:p>
    <w:p w14:paraId="5D3E7720" w14:textId="77777777" w:rsidR="00E60922" w:rsidRPr="00654DDF" w:rsidRDefault="00E60922" w:rsidP="00654DDF">
      <w:pPr>
        <w:ind w:left="-432"/>
        <w:rPr>
          <w:b/>
          <w:bCs/>
          <w:color w:val="000000" w:themeColor="text1"/>
        </w:rPr>
      </w:pPr>
      <w:r w:rsidRPr="00654DDF">
        <w:rPr>
          <w:b/>
          <w:bCs/>
          <w:color w:val="000000" w:themeColor="text1"/>
        </w:rPr>
        <w:t>Lactation</w:t>
      </w:r>
    </w:p>
    <w:p w14:paraId="406CF179" w14:textId="77777777" w:rsidR="00E60922" w:rsidRPr="00654DDF" w:rsidRDefault="00E60922" w:rsidP="00654DDF">
      <w:pPr>
        <w:ind w:left="-432"/>
        <w:rPr>
          <w:rFonts w:cstheme="minorHAnsi"/>
        </w:rPr>
      </w:pPr>
      <w:r w:rsidRPr="00654DDF">
        <w:rPr>
          <w:rFonts w:cstheme="minorHAnsi"/>
        </w:rPr>
        <w:t>There is no information regarding the presence of IMFINZI in human milk; however, because of the potential for adverse reactions in breastfed infants from IMFINZI, advise women not to breastfeed during treatment and for 3 months after the last dose.</w:t>
      </w:r>
    </w:p>
    <w:p w14:paraId="2E78898C" w14:textId="77777777" w:rsidR="00E60922" w:rsidRPr="00E60922" w:rsidRDefault="00E60922" w:rsidP="00E60922">
      <w:pPr>
        <w:pStyle w:val="NoSpacing"/>
        <w:rPr>
          <w:rFonts w:asciiTheme="minorHAnsi" w:eastAsia="Calibri" w:hAnsiTheme="minorHAnsi" w:cstheme="minorHAnsi"/>
          <w:sz w:val="24"/>
          <w:szCs w:val="24"/>
        </w:rPr>
      </w:pPr>
    </w:p>
    <w:p w14:paraId="61418A7C" w14:textId="77777777" w:rsidR="00E60922" w:rsidRPr="00654DDF" w:rsidRDefault="00E60922" w:rsidP="00654DDF">
      <w:pPr>
        <w:ind w:left="-432"/>
        <w:rPr>
          <w:b/>
          <w:bCs/>
          <w:color w:val="000000" w:themeColor="text1"/>
        </w:rPr>
      </w:pPr>
      <w:r w:rsidRPr="00654DDF">
        <w:rPr>
          <w:b/>
          <w:bCs/>
          <w:color w:val="000000" w:themeColor="text1"/>
        </w:rPr>
        <w:t>Adverse Reactions</w:t>
      </w:r>
    </w:p>
    <w:p w14:paraId="2A6AB3F4" w14:textId="77777777" w:rsidR="00E60922" w:rsidRPr="00E60922" w:rsidRDefault="00E60922" w:rsidP="00E60922">
      <w:pPr>
        <w:pStyle w:val="NoSpacing"/>
        <w:numPr>
          <w:ilvl w:val="0"/>
          <w:numId w:val="11"/>
        </w:numPr>
        <w:rPr>
          <w:rFonts w:asciiTheme="minorHAnsi" w:hAnsiTheme="minorHAnsi" w:cstheme="minorHAnsi"/>
          <w:sz w:val="24"/>
          <w:szCs w:val="24"/>
        </w:rPr>
      </w:pPr>
      <w:r w:rsidRPr="00E60922">
        <w:rPr>
          <w:rFonts w:asciiTheme="minorHAnsi" w:hAnsiTheme="minorHAnsi" w:cstheme="minorHAnsi"/>
          <w:sz w:val="24"/>
          <w:szCs w:val="24"/>
          <w:shd w:val="clear" w:color="auto" w:fill="FFFFFF"/>
        </w:rPr>
        <w:t>In patients with resectable NSCLC in the AEGEAN study, t</w:t>
      </w:r>
      <w:r w:rsidRPr="00E60922">
        <w:rPr>
          <w:rFonts w:asciiTheme="minorHAnsi" w:hAnsiTheme="minorHAnsi" w:cstheme="minorHAnsi"/>
          <w:sz w:val="24"/>
          <w:szCs w:val="24"/>
        </w:rPr>
        <w:t>he most common adverse reactions (occurring in ≥20% of patients) were anemia, nausea, constipation, fatigue, musculoskeletal pain, and rash.</w:t>
      </w:r>
    </w:p>
    <w:p w14:paraId="5A86699C" w14:textId="77777777" w:rsidR="00E60922" w:rsidRPr="00E60922" w:rsidRDefault="00E60922" w:rsidP="00E60922">
      <w:pPr>
        <w:pStyle w:val="NoSpacing"/>
        <w:keepLines/>
        <w:numPr>
          <w:ilvl w:val="0"/>
          <w:numId w:val="11"/>
        </w:numPr>
        <w:rPr>
          <w:rFonts w:asciiTheme="minorHAnsi" w:hAnsiTheme="minorHAnsi" w:cstheme="minorHAnsi"/>
          <w:sz w:val="24"/>
          <w:szCs w:val="24"/>
        </w:rPr>
      </w:pPr>
      <w:r w:rsidRPr="00E60922">
        <w:rPr>
          <w:rFonts w:asciiTheme="minorHAnsi" w:hAnsiTheme="minorHAnsi" w:cstheme="minorHAnsi"/>
          <w:color w:val="000000"/>
          <w:sz w:val="24"/>
          <w:szCs w:val="24"/>
        </w:rPr>
        <w:lastRenderedPageBreak/>
        <w:t xml:space="preserve">In patients with resectable NSCLC in the neoadjuvant phase of the AEGEAN study receiving IMFINZI in combination with platinum-containing chemotherapy (n=401), </w:t>
      </w:r>
      <w:r w:rsidRPr="00E60922">
        <w:rPr>
          <w:rFonts w:asciiTheme="minorHAnsi" w:hAnsiTheme="minorHAnsi" w:cstheme="minorHAnsi"/>
          <w:sz w:val="24"/>
          <w:szCs w:val="24"/>
        </w:rPr>
        <w:t xml:space="preserve">permanent discontinuation of IMFINZI due to an adverse reaction occurred in 6.7% of patients. </w:t>
      </w:r>
      <w:r w:rsidRPr="00E60922">
        <w:rPr>
          <w:rFonts w:asciiTheme="minorHAnsi" w:hAnsiTheme="minorHAnsi" w:cstheme="minorHAnsi"/>
          <w:color w:val="000000"/>
          <w:sz w:val="24"/>
          <w:szCs w:val="24"/>
        </w:rPr>
        <w:t xml:space="preserve">Serious adverse reactions occurred in 21% of patients. The most frequent (≥1%) serious adverse reactions were pneumonia </w:t>
      </w:r>
      <w:bookmarkStart w:id="0" w:name="_Hlk173437732"/>
      <w:r w:rsidRPr="00E60922">
        <w:rPr>
          <w:rFonts w:asciiTheme="minorHAnsi" w:hAnsiTheme="minorHAnsi" w:cstheme="minorHAnsi"/>
          <w:color w:val="000000"/>
          <w:sz w:val="24"/>
          <w:szCs w:val="24"/>
        </w:rPr>
        <w:t>(2.7</w:t>
      </w:r>
      <w:bookmarkEnd w:id="0"/>
      <w:r w:rsidRPr="00E60922">
        <w:rPr>
          <w:rFonts w:asciiTheme="minorHAnsi" w:hAnsiTheme="minorHAnsi" w:cstheme="minorHAnsi"/>
          <w:color w:val="000000"/>
          <w:sz w:val="24"/>
          <w:szCs w:val="24"/>
        </w:rPr>
        <w:t xml:space="preserve">%), anemia (1.5%), myelosuppression (1.5%), vomiting (1.2%), neutropenia (1%), and acute kidney injury (1%). Fatal adverse reactions occurred in 2% of patients, including death due to COVID-19 pneumonia (0.5%), sepsis (0.5%), myocarditis (0.2%), decreased appetite (0.2%), hemoptysis (0.2%), and death not otherwise specified (0.2%). </w:t>
      </w:r>
      <w:r w:rsidRPr="00E60922">
        <w:rPr>
          <w:rFonts w:asciiTheme="minorHAnsi" w:hAnsiTheme="minorHAnsi" w:cstheme="minorHAnsi"/>
          <w:sz w:val="24"/>
          <w:szCs w:val="24"/>
        </w:rPr>
        <w:t xml:space="preserve">Of the 401 IMFINZI treated patients </w:t>
      </w:r>
      <w:r w:rsidRPr="00E60922">
        <w:rPr>
          <w:rFonts w:asciiTheme="minorHAnsi" w:hAnsiTheme="minorHAnsi" w:cstheme="minorHAnsi"/>
          <w:sz w:val="24"/>
          <w:szCs w:val="24"/>
          <w:shd w:val="clear" w:color="auto" w:fill="FFFFFF"/>
        </w:rPr>
        <w:t>who received neoadjuvant treatment</w:t>
      </w:r>
      <w:r w:rsidRPr="00E60922">
        <w:rPr>
          <w:rFonts w:asciiTheme="minorHAnsi" w:hAnsiTheme="minorHAnsi" w:cstheme="minorHAnsi"/>
          <w:sz w:val="24"/>
          <w:szCs w:val="24"/>
        </w:rPr>
        <w:t xml:space="preserve"> and 398 placebo-treated patients who received neoadjuvant treatment, 1.7% (n=7) and 1% (n=4), respectively, did not receive surgery due to adverse reactions. </w:t>
      </w:r>
    </w:p>
    <w:p w14:paraId="718E7AEF" w14:textId="77777777" w:rsidR="00E60922" w:rsidRPr="00E60922" w:rsidRDefault="00E60922" w:rsidP="00E60922">
      <w:pPr>
        <w:pStyle w:val="NoSpacing"/>
        <w:numPr>
          <w:ilvl w:val="0"/>
          <w:numId w:val="11"/>
        </w:numPr>
        <w:rPr>
          <w:rFonts w:asciiTheme="minorHAnsi" w:hAnsiTheme="minorHAnsi" w:cstheme="minorHAnsi"/>
          <w:b/>
          <w:bCs/>
          <w:sz w:val="24"/>
          <w:szCs w:val="24"/>
        </w:rPr>
      </w:pPr>
      <w:r w:rsidRPr="00E60922">
        <w:rPr>
          <w:rFonts w:asciiTheme="minorHAnsi" w:hAnsiTheme="minorHAnsi" w:cstheme="minorHAnsi"/>
          <w:sz w:val="24"/>
          <w:szCs w:val="24"/>
        </w:rPr>
        <w:t xml:space="preserve">In patients with resectable NSCLC </w:t>
      </w:r>
      <w:r w:rsidRPr="00E60922">
        <w:rPr>
          <w:rFonts w:asciiTheme="minorHAnsi" w:hAnsiTheme="minorHAnsi" w:cstheme="minorHAnsi"/>
          <w:color w:val="000000"/>
          <w:sz w:val="24"/>
          <w:szCs w:val="24"/>
        </w:rPr>
        <w:t>in the adjuvant Phase of the AEGEAN study receiving IMFINZI as a single agent (n=265),</w:t>
      </w:r>
      <w:r w:rsidRPr="00E60922">
        <w:rPr>
          <w:rFonts w:asciiTheme="minorHAnsi" w:hAnsiTheme="minorHAnsi" w:cstheme="minorHAnsi"/>
          <w:sz w:val="24"/>
          <w:szCs w:val="24"/>
        </w:rPr>
        <w:t xml:space="preserve"> permanent discontinuation of adjuvant IMFINZI due to an adverse reaction occurred in 8% of patients. Serious adverse reactions occurred in 13% of patients. The most frequent serious adverse reactions reported in &gt;1% of patients were pneumonia (1.9%), pneumonitis (1.1%), and COVID-19 (1.1%). Four fatal adverse reactions occurred during the adjuvant phase of the study, including COVID-19 pneumonia, pneumonia aspiration, interstitial lung disease and aortic aneurysm. </w:t>
      </w:r>
    </w:p>
    <w:p w14:paraId="020F06EF" w14:textId="77777777" w:rsidR="00E60922" w:rsidRPr="00E60922" w:rsidRDefault="00E60922" w:rsidP="00E60922">
      <w:pPr>
        <w:pStyle w:val="NoSpacing"/>
        <w:ind w:left="720"/>
        <w:rPr>
          <w:rFonts w:asciiTheme="minorHAnsi" w:hAnsiTheme="minorHAnsi" w:cstheme="minorHAnsi"/>
          <w:sz w:val="24"/>
          <w:szCs w:val="24"/>
        </w:rPr>
      </w:pPr>
    </w:p>
    <w:p w14:paraId="1589A5B7" w14:textId="77777777" w:rsidR="00E60922" w:rsidRPr="00E60922" w:rsidRDefault="00E60922" w:rsidP="00CB1DA3">
      <w:pPr>
        <w:ind w:left="-450"/>
        <w:rPr>
          <w:rFonts w:cstheme="minorHAnsi"/>
        </w:rPr>
      </w:pPr>
      <w:r w:rsidRPr="00E60922">
        <w:rPr>
          <w:rFonts w:cstheme="minorHAnsi"/>
        </w:rPr>
        <w:t>The safety and effectiveness of IMFINZI has not been established in pediatric patients.</w:t>
      </w:r>
    </w:p>
    <w:p w14:paraId="312D04BE" w14:textId="77777777" w:rsidR="00E60922" w:rsidRPr="00E60922" w:rsidRDefault="00E60922" w:rsidP="00E60922">
      <w:pPr>
        <w:ind w:left="360"/>
        <w:rPr>
          <w:rFonts w:eastAsia="Calibri" w:cstheme="minorHAnsi"/>
        </w:rPr>
      </w:pPr>
    </w:p>
    <w:p w14:paraId="05EFD521" w14:textId="60425616" w:rsidR="003624D8" w:rsidRPr="00C1390C" w:rsidRDefault="003624D8" w:rsidP="003624D8">
      <w:pPr>
        <w:ind w:left="-432"/>
        <w:rPr>
          <w:b/>
          <w:bCs/>
        </w:rPr>
      </w:pPr>
      <w:r w:rsidRPr="001339B9">
        <w:rPr>
          <w:b/>
          <w:bCs/>
          <w:color w:val="000000" w:themeColor="text1"/>
        </w:rPr>
        <w:t xml:space="preserve">Please </w:t>
      </w:r>
      <w:r w:rsidRPr="00C1390C">
        <w:rPr>
          <w:b/>
          <w:bCs/>
          <w:color w:val="000000" w:themeColor="text1"/>
        </w:rPr>
        <w:t xml:space="preserve">see Full </w:t>
      </w:r>
      <w:r w:rsidRPr="00F6473B">
        <w:rPr>
          <w:b/>
          <w:bCs/>
          <w:color w:val="000000" w:themeColor="text1"/>
        </w:rPr>
        <w:t>Prescribing Information</w:t>
      </w:r>
      <w:r w:rsidRPr="00C1390C">
        <w:rPr>
          <w:b/>
          <w:bCs/>
          <w:color w:val="000000" w:themeColor="text1"/>
        </w:rPr>
        <w:t xml:space="preserve">, including Medication Guide for </w:t>
      </w:r>
      <w:hyperlink r:id="rId10" w:history="1">
        <w:r w:rsidRPr="00C1390C">
          <w:rPr>
            <w:rStyle w:val="Hyperlink"/>
            <w:b/>
            <w:bCs/>
            <w:color w:val="auto"/>
          </w:rPr>
          <w:t>IMFINZI</w:t>
        </w:r>
      </w:hyperlink>
      <w:r w:rsidRPr="00C1390C">
        <w:rPr>
          <w:b/>
          <w:bCs/>
        </w:rPr>
        <w:t>.</w:t>
      </w:r>
    </w:p>
    <w:p w14:paraId="35D3BB0A" w14:textId="77777777" w:rsidR="003624D8" w:rsidRDefault="003624D8" w:rsidP="00F51336">
      <w:pPr>
        <w:rPr>
          <w:b/>
          <w:bCs/>
          <w:color w:val="000000" w:themeColor="text1"/>
        </w:rPr>
      </w:pPr>
    </w:p>
    <w:p w14:paraId="3A779A76" w14:textId="77777777" w:rsidR="003624D8" w:rsidRDefault="003624D8" w:rsidP="008E772D">
      <w:pPr>
        <w:rPr>
          <w:b/>
          <w:bCs/>
          <w:color w:val="000000" w:themeColor="text1"/>
        </w:rPr>
      </w:pPr>
    </w:p>
    <w:p w14:paraId="17C44688" w14:textId="77777777" w:rsidR="003624D8" w:rsidRDefault="003624D8" w:rsidP="008E772D">
      <w:pPr>
        <w:rPr>
          <w:b/>
          <w:bCs/>
          <w:color w:val="000000" w:themeColor="text1"/>
        </w:rPr>
      </w:pPr>
    </w:p>
    <w:p w14:paraId="26FDFC7B" w14:textId="77777777" w:rsidR="003624D8" w:rsidRDefault="003624D8" w:rsidP="008E772D">
      <w:pPr>
        <w:rPr>
          <w:b/>
          <w:bCs/>
          <w:color w:val="000000" w:themeColor="text1"/>
        </w:rPr>
      </w:pPr>
    </w:p>
    <w:p w14:paraId="51B6A136" w14:textId="7BE365B0" w:rsidR="003624D8" w:rsidRPr="009E5032" w:rsidRDefault="003624D8" w:rsidP="003624D8">
      <w:pPr>
        <w:autoSpaceDE w:val="0"/>
        <w:autoSpaceDN w:val="0"/>
        <w:adjustRightInd w:val="0"/>
        <w:ind w:left="-432"/>
        <w:rPr>
          <w:rFonts w:cstheme="minorHAnsi"/>
          <w:color w:val="000000" w:themeColor="text1"/>
          <w:kern w:val="0"/>
        </w:rPr>
      </w:pPr>
      <w:r w:rsidRPr="009E5032">
        <w:rPr>
          <w:b/>
          <w:bCs/>
          <w:color w:val="000000" w:themeColor="text1"/>
        </w:rPr>
        <w:t xml:space="preserve">References: </w:t>
      </w:r>
      <w:r w:rsidRPr="009E5032">
        <w:rPr>
          <w:rFonts w:cstheme="minorHAnsi"/>
          <w:b/>
          <w:bCs/>
          <w:color w:val="000000" w:themeColor="text1"/>
          <w:kern w:val="0"/>
        </w:rPr>
        <w:t>1.</w:t>
      </w:r>
      <w:r w:rsidRPr="009E5032">
        <w:rPr>
          <w:rFonts w:cstheme="minorHAnsi"/>
          <w:color w:val="000000" w:themeColor="text1"/>
          <w:kern w:val="0"/>
        </w:rPr>
        <w:t xml:space="preserve"> IMFINZI® (durvalumab)</w:t>
      </w:r>
      <w:r>
        <w:rPr>
          <w:rFonts w:cstheme="minorHAnsi"/>
          <w:color w:val="000000" w:themeColor="text1"/>
          <w:kern w:val="0"/>
        </w:rPr>
        <w:t xml:space="preserve"> </w:t>
      </w:r>
      <w:r w:rsidRPr="009E5032">
        <w:rPr>
          <w:rFonts w:cstheme="minorHAnsi"/>
          <w:color w:val="000000" w:themeColor="text1"/>
          <w:kern w:val="0"/>
        </w:rPr>
        <w:t xml:space="preserve">[Prescribing Information]. Wilmington, DE: AstraZeneca Pharmaceuticals LP; 2024. </w:t>
      </w:r>
      <w:r w:rsidRPr="009E5032">
        <w:rPr>
          <w:rFonts w:cstheme="minorHAnsi"/>
          <w:b/>
          <w:bCs/>
          <w:color w:val="000000" w:themeColor="text1"/>
          <w:kern w:val="0"/>
        </w:rPr>
        <w:t>2.</w:t>
      </w:r>
      <w:r w:rsidRPr="009E5032">
        <w:rPr>
          <w:rFonts w:cstheme="minorHAnsi"/>
          <w:color w:val="000000" w:themeColor="text1"/>
          <w:kern w:val="0"/>
        </w:rPr>
        <w:t xml:space="preserve"> Heymach JV, Harpole D, Mitsudomi T, et al. Perioperative durvalumab for resectable non-small-cell lung cancer. </w:t>
      </w:r>
      <w:r w:rsidRPr="009E5032">
        <w:rPr>
          <w:rFonts w:cstheme="minorHAnsi"/>
          <w:i/>
          <w:iCs/>
          <w:color w:val="000000" w:themeColor="text1"/>
          <w:kern w:val="0"/>
        </w:rPr>
        <w:t>N Engl J Med</w:t>
      </w:r>
      <w:r w:rsidRPr="009E5032">
        <w:rPr>
          <w:rFonts w:cstheme="minorHAnsi"/>
          <w:color w:val="000000" w:themeColor="text1"/>
          <w:kern w:val="0"/>
        </w:rPr>
        <w:t>. 2023;389</w:t>
      </w:r>
      <w:r w:rsidR="00465E1D" w:rsidRPr="00465E1D">
        <w:rPr>
          <w:rFonts w:cstheme="minorHAnsi"/>
          <w:color w:val="000000" w:themeColor="text1"/>
          <w:kern w:val="0"/>
        </w:rPr>
        <w:t>(18):1672-1684 (</w:t>
      </w:r>
      <w:r w:rsidR="0067751C">
        <w:rPr>
          <w:rFonts w:cstheme="minorHAnsi"/>
          <w:color w:val="000000" w:themeColor="text1"/>
          <w:kern w:val="0"/>
        </w:rPr>
        <w:t>i</w:t>
      </w:r>
      <w:r w:rsidR="00465E1D" w:rsidRPr="00465E1D">
        <w:rPr>
          <w:rFonts w:cstheme="minorHAnsi"/>
          <w:color w:val="000000" w:themeColor="text1"/>
          <w:kern w:val="0"/>
        </w:rPr>
        <w:t xml:space="preserve">ncluding </w:t>
      </w:r>
      <w:r w:rsidR="0067751C">
        <w:rPr>
          <w:rFonts w:cstheme="minorHAnsi"/>
          <w:color w:val="000000" w:themeColor="text1"/>
          <w:kern w:val="0"/>
        </w:rPr>
        <w:t>s</w:t>
      </w:r>
      <w:r w:rsidR="00465E1D" w:rsidRPr="00465E1D">
        <w:rPr>
          <w:rFonts w:cstheme="minorHAnsi"/>
          <w:color w:val="000000" w:themeColor="text1"/>
          <w:kern w:val="0"/>
        </w:rPr>
        <w:t xml:space="preserve">upplement and </w:t>
      </w:r>
      <w:r w:rsidR="0067751C">
        <w:rPr>
          <w:rFonts w:cstheme="minorHAnsi"/>
          <w:color w:val="000000" w:themeColor="text1"/>
          <w:kern w:val="0"/>
        </w:rPr>
        <w:t>p</w:t>
      </w:r>
      <w:r w:rsidR="00465E1D" w:rsidRPr="00465E1D">
        <w:rPr>
          <w:rFonts w:cstheme="minorHAnsi"/>
          <w:color w:val="000000" w:themeColor="text1"/>
          <w:kern w:val="0"/>
        </w:rPr>
        <w:t>rotocol)</w:t>
      </w:r>
      <w:r w:rsidR="00465E1D" w:rsidRPr="00465E1D">
        <w:rPr>
          <w:rFonts w:cstheme="minorHAnsi"/>
          <w:i/>
          <w:iCs/>
          <w:color w:val="000000" w:themeColor="text1"/>
          <w:kern w:val="0"/>
        </w:rPr>
        <w:t>.</w:t>
      </w:r>
    </w:p>
    <w:p w14:paraId="75A984B4" w14:textId="77777777" w:rsidR="001339B9" w:rsidRPr="003624D8" w:rsidRDefault="001339B9" w:rsidP="006E49CD">
      <w:pPr>
        <w:ind w:left="-432"/>
        <w:rPr>
          <w:b/>
          <w:bCs/>
          <w:color w:val="000000" w:themeColor="text1"/>
          <w:sz w:val="18"/>
          <w:szCs w:val="18"/>
        </w:rPr>
      </w:pPr>
    </w:p>
    <w:p w14:paraId="6CC9CAC6" w14:textId="3E57306B" w:rsidR="001339B9" w:rsidRPr="003624D8" w:rsidRDefault="001339B9" w:rsidP="006E49CD">
      <w:pPr>
        <w:ind w:left="-432"/>
        <w:rPr>
          <w:color w:val="000000" w:themeColor="text1"/>
          <w:sz w:val="18"/>
          <w:szCs w:val="18"/>
        </w:rPr>
      </w:pPr>
      <w:r w:rsidRPr="003624D8">
        <w:rPr>
          <w:color w:val="000000" w:themeColor="text1"/>
          <w:sz w:val="18"/>
          <w:szCs w:val="18"/>
        </w:rPr>
        <w:t xml:space="preserve">IMFINZI is a registered trademark of the AstraZeneca group of companies. </w:t>
      </w:r>
    </w:p>
    <w:p w14:paraId="5DA9D236" w14:textId="3A71E537" w:rsidR="001339B9" w:rsidRPr="003624D8" w:rsidRDefault="001339B9" w:rsidP="006E49CD">
      <w:pPr>
        <w:ind w:left="-432"/>
        <w:rPr>
          <w:color w:val="000000" w:themeColor="text1"/>
          <w:sz w:val="18"/>
          <w:szCs w:val="18"/>
        </w:rPr>
      </w:pPr>
      <w:r w:rsidRPr="003624D8">
        <w:rPr>
          <w:color w:val="000000" w:themeColor="text1"/>
          <w:sz w:val="18"/>
          <w:szCs w:val="18"/>
        </w:rPr>
        <w:t xml:space="preserve">©2024 AstraZeneca. All rights reserved. </w:t>
      </w:r>
      <w:r w:rsidR="00550F83" w:rsidRPr="003624D8">
        <w:rPr>
          <w:color w:val="000000" w:themeColor="text1"/>
          <w:sz w:val="18"/>
          <w:szCs w:val="18"/>
        </w:rPr>
        <w:t>US-8241</w:t>
      </w:r>
      <w:r w:rsidR="00526788">
        <w:rPr>
          <w:color w:val="000000" w:themeColor="text1"/>
          <w:sz w:val="18"/>
          <w:szCs w:val="18"/>
        </w:rPr>
        <w:t>5</w:t>
      </w:r>
      <w:r w:rsidR="00550F83" w:rsidRPr="003624D8">
        <w:rPr>
          <w:color w:val="000000" w:themeColor="text1"/>
          <w:sz w:val="18"/>
          <w:szCs w:val="18"/>
        </w:rPr>
        <w:t xml:space="preserve"> </w:t>
      </w:r>
      <w:r w:rsidRPr="003624D8">
        <w:rPr>
          <w:color w:val="000000" w:themeColor="text1"/>
          <w:sz w:val="18"/>
          <w:szCs w:val="18"/>
        </w:rPr>
        <w:t xml:space="preserve">Last Updated </w:t>
      </w:r>
      <w:r w:rsidR="00DC2532">
        <w:rPr>
          <w:color w:val="000000" w:themeColor="text1"/>
          <w:sz w:val="18"/>
          <w:szCs w:val="18"/>
        </w:rPr>
        <w:t>8</w:t>
      </w:r>
      <w:r w:rsidRPr="003624D8">
        <w:rPr>
          <w:color w:val="000000" w:themeColor="text1"/>
          <w:sz w:val="18"/>
          <w:szCs w:val="18"/>
        </w:rPr>
        <w:t>/24</w:t>
      </w:r>
    </w:p>
    <w:sectPr w:rsidR="001339B9" w:rsidRPr="003624D8" w:rsidSect="004201B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11AD" w14:textId="77777777" w:rsidR="000F15B6" w:rsidRDefault="000F15B6" w:rsidP="00550F83">
      <w:r>
        <w:separator/>
      </w:r>
    </w:p>
  </w:endnote>
  <w:endnote w:type="continuationSeparator" w:id="0">
    <w:p w14:paraId="7EC7AFBD" w14:textId="77777777" w:rsidR="000F15B6" w:rsidRDefault="000F15B6" w:rsidP="0055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0545357"/>
      <w:docPartObj>
        <w:docPartGallery w:val="Page Numbers (Bottom of Page)"/>
        <w:docPartUnique/>
      </w:docPartObj>
    </w:sdtPr>
    <w:sdtEndPr>
      <w:rPr>
        <w:rStyle w:val="PageNumber"/>
      </w:rPr>
    </w:sdtEndPr>
    <w:sdtContent>
      <w:p w14:paraId="512FFE30" w14:textId="19D9E69B" w:rsidR="00B147B5" w:rsidRDefault="00B147B5" w:rsidP="002679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B1033A" w14:textId="6EA6CE16" w:rsidR="000856B1" w:rsidRDefault="000856B1" w:rsidP="00B147B5">
    <w:pPr>
      <w:pStyle w:val="Footer"/>
      <w:ind w:right="360"/>
    </w:pPr>
    <w:r>
      <w:rPr>
        <w:noProof/>
      </w:rPr>
      <mc:AlternateContent>
        <mc:Choice Requires="wps">
          <w:drawing>
            <wp:anchor distT="0" distB="0" distL="0" distR="0" simplePos="0" relativeHeight="251659264" behindDoc="0" locked="0" layoutInCell="1" allowOverlap="1" wp14:anchorId="103D1469" wp14:editId="0105124E">
              <wp:simplePos x="635" y="635"/>
              <wp:positionH relativeFrom="page">
                <wp:align>center</wp:align>
              </wp:positionH>
              <wp:positionV relativeFrom="page">
                <wp:align>bottom</wp:align>
              </wp:positionV>
              <wp:extent cx="2924810" cy="345440"/>
              <wp:effectExtent l="0" t="0" r="8890" b="0"/>
              <wp:wrapNone/>
              <wp:docPr id="623467211" name="Text Box 4"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00B8BB2A" w14:textId="49F0DBE6" w:rsidR="000856B1" w:rsidRPr="000856B1" w:rsidRDefault="000856B1" w:rsidP="000856B1">
                          <w:pPr>
                            <w:rPr>
                              <w:rFonts w:ascii="Calibri" w:eastAsia="Calibri" w:hAnsi="Calibri" w:cs="Calibri"/>
                              <w:noProof/>
                              <w:color w:val="000000"/>
                              <w:sz w:val="20"/>
                              <w:szCs w:val="20"/>
                            </w:rPr>
                          </w:pPr>
                          <w:r w:rsidRPr="000856B1">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D1469" id="_x0000_t202" coordsize="21600,21600" o:spt="202" path="m,l,21600r21600,l21600,xe">
              <v:stroke joinstyle="miter"/>
              <v:path gradientshapeok="t" o:connecttype="rect"/>
            </v:shapetype>
            <v:shape id="Text Box 4" o:spid="_x0000_s1028" type="#_x0000_t202" alt="Confidential - Not for Public Consumption or Distribution" style="position:absolute;margin-left:0;margin-top:0;width:230.3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" filled="f" stroked="f">
              <v:textbox style="mso-fit-shape-to-text:t" inset="0,0,0,15pt">
                <w:txbxContent>
                  <w:p w14:paraId="00B8BB2A" w14:textId="49F0DBE6" w:rsidR="000856B1" w:rsidRPr="000856B1" w:rsidRDefault="000856B1" w:rsidP="000856B1">
                    <w:pPr>
                      <w:rPr>
                        <w:rFonts w:ascii="Calibri" w:eastAsia="Calibri" w:hAnsi="Calibri" w:cs="Calibri"/>
                        <w:noProof/>
                        <w:color w:val="000000"/>
                        <w:sz w:val="20"/>
                        <w:szCs w:val="20"/>
                      </w:rPr>
                    </w:pPr>
                    <w:r w:rsidRPr="000856B1">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6056000"/>
      <w:docPartObj>
        <w:docPartGallery w:val="Page Numbers (Bottom of Page)"/>
        <w:docPartUnique/>
      </w:docPartObj>
    </w:sdtPr>
    <w:sdtEndPr>
      <w:rPr>
        <w:rStyle w:val="PageNumber"/>
      </w:rPr>
    </w:sdtEndPr>
    <w:sdtContent>
      <w:p w14:paraId="3972A6D3" w14:textId="5878BA8A" w:rsidR="00B147B5" w:rsidRDefault="00B147B5" w:rsidP="002679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25F69C" w14:textId="77777777" w:rsidR="00B147B5" w:rsidRDefault="00B147B5" w:rsidP="00B147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95DF" w14:textId="4824436B" w:rsidR="000856B1" w:rsidRDefault="000856B1">
    <w:pPr>
      <w:pStyle w:val="Footer"/>
    </w:pPr>
    <w:r>
      <w:rPr>
        <w:noProof/>
      </w:rPr>
      <mc:AlternateContent>
        <mc:Choice Requires="wps">
          <w:drawing>
            <wp:anchor distT="0" distB="0" distL="0" distR="0" simplePos="0" relativeHeight="251658240" behindDoc="0" locked="0" layoutInCell="1" allowOverlap="1" wp14:anchorId="323B3CB5" wp14:editId="2CCE809A">
              <wp:simplePos x="635" y="635"/>
              <wp:positionH relativeFrom="page">
                <wp:align>center</wp:align>
              </wp:positionH>
              <wp:positionV relativeFrom="page">
                <wp:align>bottom</wp:align>
              </wp:positionV>
              <wp:extent cx="2924810" cy="345440"/>
              <wp:effectExtent l="0" t="0" r="8890" b="0"/>
              <wp:wrapNone/>
              <wp:docPr id="1563625550"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45440"/>
                      </a:xfrm>
                      <a:prstGeom prst="rect">
                        <a:avLst/>
                      </a:prstGeom>
                      <a:noFill/>
                      <a:ln>
                        <a:noFill/>
                      </a:ln>
                    </wps:spPr>
                    <wps:txbx>
                      <w:txbxContent>
                        <w:p w14:paraId="335A1444" w14:textId="21C84D0C" w:rsidR="000856B1" w:rsidRPr="000856B1" w:rsidRDefault="000856B1" w:rsidP="000856B1">
                          <w:pPr>
                            <w:rPr>
                              <w:rFonts w:ascii="Calibri" w:eastAsia="Calibri" w:hAnsi="Calibri" w:cs="Calibri"/>
                              <w:noProof/>
                              <w:color w:val="000000"/>
                              <w:sz w:val="20"/>
                              <w:szCs w:val="20"/>
                            </w:rPr>
                          </w:pPr>
                          <w:r w:rsidRPr="000856B1">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B3CB5" id="_x0000_t202" coordsize="21600,21600" o:spt="202" path="m,l,21600r21600,l21600,xe">
              <v:stroke joinstyle="miter"/>
              <v:path gradientshapeok="t" o:connecttype="rect"/>
            </v:shapetype>
            <v:shape id="Text Box 3" o:spid="_x0000_s1029" type="#_x0000_t202" alt="Confidential - Not for Public Consumption or Distribution" style="position:absolute;margin-left:0;margin-top:0;width:230.3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" filled="f" stroked="f">
              <v:textbox style="mso-fit-shape-to-text:t" inset="0,0,0,15pt">
                <w:txbxContent>
                  <w:p w14:paraId="335A1444" w14:textId="21C84D0C" w:rsidR="000856B1" w:rsidRPr="000856B1" w:rsidRDefault="000856B1" w:rsidP="000856B1">
                    <w:pPr>
                      <w:rPr>
                        <w:rFonts w:ascii="Calibri" w:eastAsia="Calibri" w:hAnsi="Calibri" w:cs="Calibri"/>
                        <w:noProof/>
                        <w:color w:val="000000"/>
                        <w:sz w:val="20"/>
                        <w:szCs w:val="20"/>
                      </w:rPr>
                    </w:pPr>
                    <w:r w:rsidRPr="000856B1">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39D08" w14:textId="77777777" w:rsidR="000F15B6" w:rsidRDefault="000F15B6" w:rsidP="00550F83">
      <w:r>
        <w:separator/>
      </w:r>
    </w:p>
  </w:footnote>
  <w:footnote w:type="continuationSeparator" w:id="0">
    <w:p w14:paraId="2412DA06" w14:textId="77777777" w:rsidR="000F15B6" w:rsidRDefault="000F15B6" w:rsidP="00550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CEE9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56A3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D598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754D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E1BB6"/>
    <w:multiLevelType w:val="hybridMultilevel"/>
    <w:tmpl w:val="A6047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F5EC5"/>
    <w:multiLevelType w:val="hybridMultilevel"/>
    <w:tmpl w:val="825A5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6114F8"/>
    <w:multiLevelType w:val="hybridMultilevel"/>
    <w:tmpl w:val="422C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A05DD"/>
    <w:multiLevelType w:val="hybridMultilevel"/>
    <w:tmpl w:val="A87E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C1C77"/>
    <w:multiLevelType w:val="hybridMultilevel"/>
    <w:tmpl w:val="F1CA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872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6E07BF3"/>
    <w:multiLevelType w:val="hybridMultilevel"/>
    <w:tmpl w:val="D884CC7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16cid:durableId="808060141">
    <w:abstractNumId w:val="0"/>
  </w:num>
  <w:num w:numId="2" w16cid:durableId="1796017736">
    <w:abstractNumId w:val="2"/>
  </w:num>
  <w:num w:numId="3" w16cid:durableId="1969311594">
    <w:abstractNumId w:val="3"/>
  </w:num>
  <w:num w:numId="4" w16cid:durableId="898900624">
    <w:abstractNumId w:val="7"/>
  </w:num>
  <w:num w:numId="5" w16cid:durableId="903492131">
    <w:abstractNumId w:val="1"/>
  </w:num>
  <w:num w:numId="6" w16cid:durableId="569851966">
    <w:abstractNumId w:val="9"/>
  </w:num>
  <w:num w:numId="7" w16cid:durableId="1887837408">
    <w:abstractNumId w:val="10"/>
  </w:num>
  <w:num w:numId="8" w16cid:durableId="1900703637">
    <w:abstractNumId w:val="6"/>
  </w:num>
  <w:num w:numId="9" w16cid:durableId="1226991893">
    <w:abstractNumId w:val="8"/>
  </w:num>
  <w:num w:numId="10" w16cid:durableId="348675984">
    <w:abstractNumId w:val="4"/>
  </w:num>
  <w:num w:numId="11" w16cid:durableId="940919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1B"/>
    <w:rsid w:val="00011570"/>
    <w:rsid w:val="00014BAF"/>
    <w:rsid w:val="00020655"/>
    <w:rsid w:val="000354F1"/>
    <w:rsid w:val="00050715"/>
    <w:rsid w:val="00065147"/>
    <w:rsid w:val="000719E0"/>
    <w:rsid w:val="000856B1"/>
    <w:rsid w:val="00096F36"/>
    <w:rsid w:val="000A4A2B"/>
    <w:rsid w:val="000B46F8"/>
    <w:rsid w:val="000B6359"/>
    <w:rsid w:val="000C6803"/>
    <w:rsid w:val="000D5E9E"/>
    <w:rsid w:val="000F15B6"/>
    <w:rsid w:val="000F4AC8"/>
    <w:rsid w:val="00100B83"/>
    <w:rsid w:val="001022BC"/>
    <w:rsid w:val="00113CE2"/>
    <w:rsid w:val="00115B71"/>
    <w:rsid w:val="00115DAE"/>
    <w:rsid w:val="0012452C"/>
    <w:rsid w:val="001339B9"/>
    <w:rsid w:val="001446FE"/>
    <w:rsid w:val="001459F6"/>
    <w:rsid w:val="0016247B"/>
    <w:rsid w:val="001635FF"/>
    <w:rsid w:val="00172F65"/>
    <w:rsid w:val="00186710"/>
    <w:rsid w:val="001A575D"/>
    <w:rsid w:val="001B1DB8"/>
    <w:rsid w:val="001B6438"/>
    <w:rsid w:val="001B646C"/>
    <w:rsid w:val="001C772B"/>
    <w:rsid w:val="001D005D"/>
    <w:rsid w:val="001D0EA9"/>
    <w:rsid w:val="001F102C"/>
    <w:rsid w:val="001F4083"/>
    <w:rsid w:val="0020445E"/>
    <w:rsid w:val="00207C0D"/>
    <w:rsid w:val="00217332"/>
    <w:rsid w:val="0022413D"/>
    <w:rsid w:val="002359F4"/>
    <w:rsid w:val="002503DE"/>
    <w:rsid w:val="00277F7A"/>
    <w:rsid w:val="002867ED"/>
    <w:rsid w:val="0029273C"/>
    <w:rsid w:val="002A4898"/>
    <w:rsid w:val="002A65E9"/>
    <w:rsid w:val="002A6924"/>
    <w:rsid w:val="002E00B6"/>
    <w:rsid w:val="002F71EF"/>
    <w:rsid w:val="00301D37"/>
    <w:rsid w:val="003130FE"/>
    <w:rsid w:val="0031774A"/>
    <w:rsid w:val="00323134"/>
    <w:rsid w:val="00335B0E"/>
    <w:rsid w:val="003376E4"/>
    <w:rsid w:val="00353792"/>
    <w:rsid w:val="0035746A"/>
    <w:rsid w:val="003624D8"/>
    <w:rsid w:val="0038322E"/>
    <w:rsid w:val="00394F17"/>
    <w:rsid w:val="003A6EE8"/>
    <w:rsid w:val="003C4333"/>
    <w:rsid w:val="003D2DD4"/>
    <w:rsid w:val="003D2F46"/>
    <w:rsid w:val="003D55A6"/>
    <w:rsid w:val="003F56BC"/>
    <w:rsid w:val="003F5A1B"/>
    <w:rsid w:val="004201B0"/>
    <w:rsid w:val="004405E0"/>
    <w:rsid w:val="0046536A"/>
    <w:rsid w:val="00465E1D"/>
    <w:rsid w:val="00474E43"/>
    <w:rsid w:val="00474F30"/>
    <w:rsid w:val="004B6D24"/>
    <w:rsid w:val="004C032F"/>
    <w:rsid w:val="004C2389"/>
    <w:rsid w:val="004C496B"/>
    <w:rsid w:val="004C77C3"/>
    <w:rsid w:val="004D1CF8"/>
    <w:rsid w:val="004D2E83"/>
    <w:rsid w:val="004D3ABF"/>
    <w:rsid w:val="004E0EC8"/>
    <w:rsid w:val="005040A1"/>
    <w:rsid w:val="00511F20"/>
    <w:rsid w:val="005160B4"/>
    <w:rsid w:val="005241F7"/>
    <w:rsid w:val="00526788"/>
    <w:rsid w:val="00526897"/>
    <w:rsid w:val="00550F83"/>
    <w:rsid w:val="00553938"/>
    <w:rsid w:val="005563EF"/>
    <w:rsid w:val="005671DF"/>
    <w:rsid w:val="005772C3"/>
    <w:rsid w:val="00587FAE"/>
    <w:rsid w:val="0059098F"/>
    <w:rsid w:val="005959E1"/>
    <w:rsid w:val="005A45EB"/>
    <w:rsid w:val="005B008B"/>
    <w:rsid w:val="005B321A"/>
    <w:rsid w:val="005B387A"/>
    <w:rsid w:val="005B5CCD"/>
    <w:rsid w:val="005D29FF"/>
    <w:rsid w:val="005D51AB"/>
    <w:rsid w:val="005D6018"/>
    <w:rsid w:val="005F25B2"/>
    <w:rsid w:val="005F5F71"/>
    <w:rsid w:val="006038C5"/>
    <w:rsid w:val="006229D4"/>
    <w:rsid w:val="00636DFF"/>
    <w:rsid w:val="00641FFA"/>
    <w:rsid w:val="00654DDF"/>
    <w:rsid w:val="0066392C"/>
    <w:rsid w:val="0066766B"/>
    <w:rsid w:val="00670552"/>
    <w:rsid w:val="0067199D"/>
    <w:rsid w:val="006727FE"/>
    <w:rsid w:val="0067751C"/>
    <w:rsid w:val="00686BFF"/>
    <w:rsid w:val="006A1AFE"/>
    <w:rsid w:val="006A7381"/>
    <w:rsid w:val="006A7AE3"/>
    <w:rsid w:val="006B7250"/>
    <w:rsid w:val="006D5A84"/>
    <w:rsid w:val="006E0C51"/>
    <w:rsid w:val="006E49CD"/>
    <w:rsid w:val="006F2EA2"/>
    <w:rsid w:val="007028E2"/>
    <w:rsid w:val="007035F3"/>
    <w:rsid w:val="00710A9B"/>
    <w:rsid w:val="00711F7F"/>
    <w:rsid w:val="00715878"/>
    <w:rsid w:val="00726E0D"/>
    <w:rsid w:val="0072785B"/>
    <w:rsid w:val="007318D0"/>
    <w:rsid w:val="00734948"/>
    <w:rsid w:val="00740633"/>
    <w:rsid w:val="00745207"/>
    <w:rsid w:val="00752F2E"/>
    <w:rsid w:val="00753D3D"/>
    <w:rsid w:val="00753DB5"/>
    <w:rsid w:val="00761D56"/>
    <w:rsid w:val="007715CB"/>
    <w:rsid w:val="00791682"/>
    <w:rsid w:val="007A2558"/>
    <w:rsid w:val="007B6F11"/>
    <w:rsid w:val="007C7384"/>
    <w:rsid w:val="007D06A8"/>
    <w:rsid w:val="007E04D1"/>
    <w:rsid w:val="007E400E"/>
    <w:rsid w:val="00820E4A"/>
    <w:rsid w:val="008250BF"/>
    <w:rsid w:val="008545B0"/>
    <w:rsid w:val="0087290B"/>
    <w:rsid w:val="00880694"/>
    <w:rsid w:val="008863C2"/>
    <w:rsid w:val="00892AD3"/>
    <w:rsid w:val="00896682"/>
    <w:rsid w:val="008B0463"/>
    <w:rsid w:val="008C2AF6"/>
    <w:rsid w:val="008D16B1"/>
    <w:rsid w:val="008D38A0"/>
    <w:rsid w:val="008E641F"/>
    <w:rsid w:val="008E772D"/>
    <w:rsid w:val="009002B6"/>
    <w:rsid w:val="00905BDA"/>
    <w:rsid w:val="009103A1"/>
    <w:rsid w:val="00916222"/>
    <w:rsid w:val="009166E1"/>
    <w:rsid w:val="009366D1"/>
    <w:rsid w:val="00940F2A"/>
    <w:rsid w:val="009461D4"/>
    <w:rsid w:val="0094756C"/>
    <w:rsid w:val="00951997"/>
    <w:rsid w:val="0096323C"/>
    <w:rsid w:val="00963C23"/>
    <w:rsid w:val="009958D2"/>
    <w:rsid w:val="009A2A03"/>
    <w:rsid w:val="009B0015"/>
    <w:rsid w:val="009C3415"/>
    <w:rsid w:val="009C36EB"/>
    <w:rsid w:val="009C538E"/>
    <w:rsid w:val="009E5032"/>
    <w:rsid w:val="009E5962"/>
    <w:rsid w:val="00A00B50"/>
    <w:rsid w:val="00A116D7"/>
    <w:rsid w:val="00A13C25"/>
    <w:rsid w:val="00A16362"/>
    <w:rsid w:val="00A16DBD"/>
    <w:rsid w:val="00A1795C"/>
    <w:rsid w:val="00A20B75"/>
    <w:rsid w:val="00A2723F"/>
    <w:rsid w:val="00A37639"/>
    <w:rsid w:val="00A44A39"/>
    <w:rsid w:val="00A456A0"/>
    <w:rsid w:val="00A55804"/>
    <w:rsid w:val="00A615E9"/>
    <w:rsid w:val="00A63F11"/>
    <w:rsid w:val="00A66556"/>
    <w:rsid w:val="00A7082D"/>
    <w:rsid w:val="00A73FF9"/>
    <w:rsid w:val="00A815D8"/>
    <w:rsid w:val="00A95E61"/>
    <w:rsid w:val="00AC2B6B"/>
    <w:rsid w:val="00AC7B65"/>
    <w:rsid w:val="00AE1793"/>
    <w:rsid w:val="00AF71D4"/>
    <w:rsid w:val="00B02993"/>
    <w:rsid w:val="00B147B5"/>
    <w:rsid w:val="00B20401"/>
    <w:rsid w:val="00B40A27"/>
    <w:rsid w:val="00B53A94"/>
    <w:rsid w:val="00B578D4"/>
    <w:rsid w:val="00B64874"/>
    <w:rsid w:val="00B67207"/>
    <w:rsid w:val="00B67681"/>
    <w:rsid w:val="00B71D4E"/>
    <w:rsid w:val="00B76AEA"/>
    <w:rsid w:val="00B82E5A"/>
    <w:rsid w:val="00B86A0C"/>
    <w:rsid w:val="00BA1F8C"/>
    <w:rsid w:val="00BB7F5C"/>
    <w:rsid w:val="00BC0AAA"/>
    <w:rsid w:val="00BC1AD7"/>
    <w:rsid w:val="00BC746D"/>
    <w:rsid w:val="00BD7BB2"/>
    <w:rsid w:val="00BE775E"/>
    <w:rsid w:val="00BF409E"/>
    <w:rsid w:val="00C031A9"/>
    <w:rsid w:val="00C11709"/>
    <w:rsid w:val="00C11994"/>
    <w:rsid w:val="00C1390C"/>
    <w:rsid w:val="00C21B0C"/>
    <w:rsid w:val="00C30A22"/>
    <w:rsid w:val="00C47C17"/>
    <w:rsid w:val="00C55DF0"/>
    <w:rsid w:val="00C61059"/>
    <w:rsid w:val="00C615BD"/>
    <w:rsid w:val="00C77DFD"/>
    <w:rsid w:val="00C84EDF"/>
    <w:rsid w:val="00C93D90"/>
    <w:rsid w:val="00CA0611"/>
    <w:rsid w:val="00CA361C"/>
    <w:rsid w:val="00CA4018"/>
    <w:rsid w:val="00CB15F4"/>
    <w:rsid w:val="00CB1DA3"/>
    <w:rsid w:val="00CB2441"/>
    <w:rsid w:val="00CD6306"/>
    <w:rsid w:val="00CD7A9D"/>
    <w:rsid w:val="00CE1D92"/>
    <w:rsid w:val="00CE28AC"/>
    <w:rsid w:val="00CE6E8B"/>
    <w:rsid w:val="00D0222B"/>
    <w:rsid w:val="00D047B3"/>
    <w:rsid w:val="00D1158E"/>
    <w:rsid w:val="00D13945"/>
    <w:rsid w:val="00D24F2E"/>
    <w:rsid w:val="00D27FF3"/>
    <w:rsid w:val="00D30040"/>
    <w:rsid w:val="00D418FE"/>
    <w:rsid w:val="00D5541E"/>
    <w:rsid w:val="00D71AB7"/>
    <w:rsid w:val="00D732AB"/>
    <w:rsid w:val="00D75680"/>
    <w:rsid w:val="00D8442C"/>
    <w:rsid w:val="00D85D3F"/>
    <w:rsid w:val="00D91278"/>
    <w:rsid w:val="00D93F74"/>
    <w:rsid w:val="00D97289"/>
    <w:rsid w:val="00DC2532"/>
    <w:rsid w:val="00DC45BC"/>
    <w:rsid w:val="00DC71B9"/>
    <w:rsid w:val="00DD1070"/>
    <w:rsid w:val="00DD22CA"/>
    <w:rsid w:val="00DE6D37"/>
    <w:rsid w:val="00DF16E8"/>
    <w:rsid w:val="00E042EE"/>
    <w:rsid w:val="00E165B9"/>
    <w:rsid w:val="00E23FF1"/>
    <w:rsid w:val="00E60922"/>
    <w:rsid w:val="00E911FD"/>
    <w:rsid w:val="00E93BE7"/>
    <w:rsid w:val="00E97265"/>
    <w:rsid w:val="00E97CA0"/>
    <w:rsid w:val="00EA0B56"/>
    <w:rsid w:val="00ED0B30"/>
    <w:rsid w:val="00EF09F9"/>
    <w:rsid w:val="00EF2F35"/>
    <w:rsid w:val="00F05A68"/>
    <w:rsid w:val="00F242BE"/>
    <w:rsid w:val="00F24671"/>
    <w:rsid w:val="00F306EB"/>
    <w:rsid w:val="00F51336"/>
    <w:rsid w:val="00F62F11"/>
    <w:rsid w:val="00F6473B"/>
    <w:rsid w:val="00F817F2"/>
    <w:rsid w:val="00F824E1"/>
    <w:rsid w:val="00F84623"/>
    <w:rsid w:val="00F93DE9"/>
    <w:rsid w:val="00FC4276"/>
    <w:rsid w:val="00FC4D12"/>
    <w:rsid w:val="00FD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7952"/>
  <w15:docId w15:val="{01FE481D-50F6-314B-9500-0EC9549D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A1B"/>
    <w:pPr>
      <w:autoSpaceDE w:val="0"/>
      <w:autoSpaceDN w:val="0"/>
      <w:adjustRightInd w:val="0"/>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1339B9"/>
    <w:rPr>
      <w:sz w:val="16"/>
      <w:szCs w:val="16"/>
    </w:rPr>
  </w:style>
  <w:style w:type="paragraph" w:styleId="CommentText">
    <w:name w:val="annotation text"/>
    <w:basedOn w:val="Normal"/>
    <w:link w:val="CommentTextChar"/>
    <w:uiPriority w:val="99"/>
    <w:semiHidden/>
    <w:unhideWhenUsed/>
    <w:rsid w:val="001339B9"/>
    <w:rPr>
      <w:sz w:val="20"/>
      <w:szCs w:val="20"/>
    </w:rPr>
  </w:style>
  <w:style w:type="character" w:customStyle="1" w:styleId="CommentTextChar">
    <w:name w:val="Comment Text Char"/>
    <w:basedOn w:val="DefaultParagraphFont"/>
    <w:link w:val="CommentText"/>
    <w:uiPriority w:val="99"/>
    <w:semiHidden/>
    <w:rsid w:val="001339B9"/>
    <w:rPr>
      <w:sz w:val="20"/>
      <w:szCs w:val="20"/>
    </w:rPr>
  </w:style>
  <w:style w:type="paragraph" w:styleId="CommentSubject">
    <w:name w:val="annotation subject"/>
    <w:basedOn w:val="CommentText"/>
    <w:next w:val="CommentText"/>
    <w:link w:val="CommentSubjectChar"/>
    <w:uiPriority w:val="99"/>
    <w:semiHidden/>
    <w:unhideWhenUsed/>
    <w:rsid w:val="001339B9"/>
    <w:rPr>
      <w:b/>
      <w:bCs/>
    </w:rPr>
  </w:style>
  <w:style w:type="character" w:customStyle="1" w:styleId="CommentSubjectChar">
    <w:name w:val="Comment Subject Char"/>
    <w:basedOn w:val="CommentTextChar"/>
    <w:link w:val="CommentSubject"/>
    <w:uiPriority w:val="99"/>
    <w:semiHidden/>
    <w:rsid w:val="001339B9"/>
    <w:rPr>
      <w:b/>
      <w:bCs/>
      <w:sz w:val="20"/>
      <w:szCs w:val="20"/>
    </w:rPr>
  </w:style>
  <w:style w:type="paragraph" w:styleId="Header">
    <w:name w:val="header"/>
    <w:basedOn w:val="Normal"/>
    <w:link w:val="HeaderChar"/>
    <w:uiPriority w:val="99"/>
    <w:unhideWhenUsed/>
    <w:rsid w:val="00550F83"/>
    <w:pPr>
      <w:tabs>
        <w:tab w:val="center" w:pos="4680"/>
        <w:tab w:val="right" w:pos="9360"/>
      </w:tabs>
    </w:pPr>
  </w:style>
  <w:style w:type="character" w:customStyle="1" w:styleId="HeaderChar">
    <w:name w:val="Header Char"/>
    <w:basedOn w:val="DefaultParagraphFont"/>
    <w:link w:val="Header"/>
    <w:uiPriority w:val="99"/>
    <w:rsid w:val="00550F83"/>
  </w:style>
  <w:style w:type="paragraph" w:styleId="Footer">
    <w:name w:val="footer"/>
    <w:basedOn w:val="Normal"/>
    <w:link w:val="FooterChar"/>
    <w:uiPriority w:val="99"/>
    <w:unhideWhenUsed/>
    <w:rsid w:val="00550F83"/>
    <w:pPr>
      <w:tabs>
        <w:tab w:val="center" w:pos="4680"/>
        <w:tab w:val="right" w:pos="9360"/>
      </w:tabs>
    </w:pPr>
  </w:style>
  <w:style w:type="character" w:customStyle="1" w:styleId="FooterChar">
    <w:name w:val="Footer Char"/>
    <w:basedOn w:val="DefaultParagraphFont"/>
    <w:link w:val="Footer"/>
    <w:uiPriority w:val="99"/>
    <w:rsid w:val="00550F83"/>
  </w:style>
  <w:style w:type="character" w:customStyle="1" w:styleId="apple-converted-space">
    <w:name w:val="apple-converted-space"/>
    <w:basedOn w:val="DefaultParagraphFont"/>
    <w:rsid w:val="00BF409E"/>
  </w:style>
  <w:style w:type="character" w:styleId="Emphasis">
    <w:name w:val="Emphasis"/>
    <w:basedOn w:val="DefaultParagraphFont"/>
    <w:uiPriority w:val="20"/>
    <w:qFormat/>
    <w:rsid w:val="00896682"/>
    <w:rPr>
      <w:i/>
      <w:iCs/>
    </w:rPr>
  </w:style>
  <w:style w:type="paragraph" w:styleId="NormalWeb">
    <w:name w:val="Normal (Web)"/>
    <w:basedOn w:val="Normal"/>
    <w:uiPriority w:val="99"/>
    <w:unhideWhenUsed/>
    <w:rsid w:val="009461D4"/>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link w:val="ListParagraphChar"/>
    <w:uiPriority w:val="34"/>
    <w:qFormat/>
    <w:rsid w:val="00A7082D"/>
    <w:pPr>
      <w:ind w:left="720"/>
      <w:contextualSpacing/>
    </w:pPr>
  </w:style>
  <w:style w:type="character" w:styleId="PageNumber">
    <w:name w:val="page number"/>
    <w:basedOn w:val="DefaultParagraphFont"/>
    <w:uiPriority w:val="99"/>
    <w:semiHidden/>
    <w:unhideWhenUsed/>
    <w:rsid w:val="009103A1"/>
  </w:style>
  <w:style w:type="character" w:customStyle="1" w:styleId="bold-text">
    <w:name w:val="bold-text"/>
    <w:basedOn w:val="DefaultParagraphFont"/>
    <w:rsid w:val="00F51336"/>
  </w:style>
  <w:style w:type="paragraph" w:styleId="NoSpacing">
    <w:name w:val="No Spacing"/>
    <w:uiPriority w:val="1"/>
    <w:qFormat/>
    <w:rsid w:val="00F51336"/>
    <w:rPr>
      <w:rFonts w:ascii="Times New Roman" w:eastAsia="PMingLiU" w:hAnsi="Times New Roman" w:cs="Times New Roman"/>
      <w:kern w:val="0"/>
      <w:sz w:val="22"/>
      <w:szCs w:val="22"/>
      <w14:ligatures w14:val="none"/>
    </w:rPr>
  </w:style>
  <w:style w:type="character" w:customStyle="1" w:styleId="ListParagraphChar">
    <w:name w:val="List Paragraph Char"/>
    <w:basedOn w:val="DefaultParagraphFont"/>
    <w:link w:val="ListParagraph"/>
    <w:uiPriority w:val="34"/>
    <w:rsid w:val="00F51336"/>
  </w:style>
  <w:style w:type="character" w:styleId="Hyperlink">
    <w:name w:val="Hyperlink"/>
    <w:basedOn w:val="DefaultParagraphFont"/>
    <w:uiPriority w:val="99"/>
    <w:unhideWhenUsed/>
    <w:rsid w:val="00D1158E"/>
    <w:rPr>
      <w:color w:val="0563C1" w:themeColor="hyperlink"/>
      <w:u w:val="single"/>
    </w:rPr>
  </w:style>
  <w:style w:type="character" w:styleId="UnresolvedMention">
    <w:name w:val="Unresolved Mention"/>
    <w:basedOn w:val="DefaultParagraphFont"/>
    <w:uiPriority w:val="99"/>
    <w:semiHidden/>
    <w:unhideWhenUsed/>
    <w:rsid w:val="00D1158E"/>
    <w:rPr>
      <w:color w:val="605E5C"/>
      <w:shd w:val="clear" w:color="auto" w:fill="E1DFDD"/>
    </w:rPr>
  </w:style>
  <w:style w:type="character" w:styleId="FollowedHyperlink">
    <w:name w:val="FollowedHyperlink"/>
    <w:basedOn w:val="DefaultParagraphFont"/>
    <w:uiPriority w:val="99"/>
    <w:semiHidden/>
    <w:unhideWhenUsed/>
    <w:rsid w:val="00C13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6300">
      <w:bodyDiv w:val="1"/>
      <w:marLeft w:val="0"/>
      <w:marRight w:val="0"/>
      <w:marTop w:val="0"/>
      <w:marBottom w:val="0"/>
      <w:divBdr>
        <w:top w:val="none" w:sz="0" w:space="0" w:color="auto"/>
        <w:left w:val="none" w:sz="0" w:space="0" w:color="auto"/>
        <w:bottom w:val="none" w:sz="0" w:space="0" w:color="auto"/>
        <w:right w:val="none" w:sz="0" w:space="0" w:color="auto"/>
      </w:divBdr>
      <w:divsChild>
        <w:div w:id="219050860">
          <w:marLeft w:val="0"/>
          <w:marRight w:val="0"/>
          <w:marTop w:val="0"/>
          <w:marBottom w:val="0"/>
          <w:divBdr>
            <w:top w:val="none" w:sz="0" w:space="0" w:color="auto"/>
            <w:left w:val="none" w:sz="0" w:space="0" w:color="auto"/>
            <w:bottom w:val="none" w:sz="0" w:space="0" w:color="auto"/>
            <w:right w:val="none" w:sz="0" w:space="0" w:color="auto"/>
          </w:divBdr>
        </w:div>
        <w:div w:id="1017079098">
          <w:marLeft w:val="0"/>
          <w:marRight w:val="0"/>
          <w:marTop w:val="0"/>
          <w:marBottom w:val="0"/>
          <w:divBdr>
            <w:top w:val="none" w:sz="0" w:space="0" w:color="auto"/>
            <w:left w:val="none" w:sz="0" w:space="0" w:color="auto"/>
            <w:bottom w:val="none" w:sz="0" w:space="0" w:color="auto"/>
            <w:right w:val="none" w:sz="0" w:space="0" w:color="auto"/>
          </w:divBdr>
        </w:div>
      </w:divsChild>
    </w:div>
    <w:div w:id="172402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en8dhaj6zs0e.cloudfront.net/50fd68b9-106b-4550-b5d0-12b045f8b184/9496217c-08b3-432b-ab4f-538d795820bd/9496217c-08b3-432b-ab4f-538d795820bd_viewable_rendition__v.pdf" TargetMode="External"/><Relationship Id="rId4" Type="http://schemas.openxmlformats.org/officeDocument/2006/relationships/styles" Target="styles.xml"/><Relationship Id="rId9" Type="http://schemas.openxmlformats.org/officeDocument/2006/relationships/hyperlink" Target="https://den8dhaj6zs0e.cloudfront.net/50fd68b9-106b-4550-b5d0-12b045f8b184/9496217c-08b3-432b-ab4f-538d795820bd/9496217c-08b3-432b-ab4f-538d795820bd_viewable_rendition__v.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2DB3B308CAD4BA806084C4986454B" ma:contentTypeVersion="14" ma:contentTypeDescription="Create a new document." ma:contentTypeScope="" ma:versionID="6f0de6e59e38e9f7e5e5c951623220a7">
  <xsd:schema xmlns:xsd="http://www.w3.org/2001/XMLSchema" xmlns:xs="http://www.w3.org/2001/XMLSchema" xmlns:p="http://schemas.microsoft.com/office/2006/metadata/properties" xmlns:ns2="f2df423a-619d-4223-b9a3-0b2c951ede7a" xmlns:ns3="adc2c4e2-72cf-4386-988c-ac04deeb48f5" targetNamespace="http://schemas.microsoft.com/office/2006/metadata/properties" ma:root="true" ma:fieldsID="eea8f998637017cd8c91930162388953" ns2:_="" ns3:_="">
    <xsd:import namespace="f2df423a-619d-4223-b9a3-0b2c951ede7a"/>
    <xsd:import namespace="adc2c4e2-72cf-4386-988c-ac04deeb48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f423a-619d-4223-b9a3-0b2c951e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c2c4e2-72cf-4386-988c-ac04deeb48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f0cd9d-26e2-411a-82f7-7d961acb5991}" ma:internalName="TaxCatchAll" ma:showField="CatchAllData" ma:web="adc2c4e2-72cf-4386-988c-ac04deeb48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563C8-9889-4B6E-B285-D86800F16540}">
  <ds:schemaRefs>
    <ds:schemaRef ds:uri="http://schemas.microsoft.com/office/2006/metadata/contentType"/>
    <ds:schemaRef ds:uri="http://schemas.microsoft.com/office/2006/metadata/properties/metaAttributes"/>
    <ds:schemaRef ds:uri="http://www.w3.org/2000/xmlns/"/>
    <ds:schemaRef ds:uri="http://www.w3.org/2001/XMLSchema"/>
    <ds:schemaRef ds:uri="f2df423a-619d-4223-b9a3-0b2c951ede7a"/>
    <ds:schemaRef ds:uri="adc2c4e2-72cf-4386-988c-ac04deeb48f5"/>
  </ds:schemaRefs>
</ds:datastoreItem>
</file>

<file path=customXml/itemProps2.xml><?xml version="1.0" encoding="utf-8"?>
<ds:datastoreItem xmlns:ds="http://schemas.openxmlformats.org/officeDocument/2006/customXml" ds:itemID="{21781A71-8970-46C8-992E-0988D23F3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Ward (Entree Health)</dc:creator>
  <cp:keywords/>
  <dc:description/>
  <cp:lastModifiedBy>McClure, Jenifer</cp:lastModifiedBy>
  <cp:revision>2</cp:revision>
  <cp:lastPrinted>2024-01-29T22:29:00Z</cp:lastPrinted>
  <dcterms:created xsi:type="dcterms:W3CDTF">2024-09-05T13:52:00Z</dcterms:created>
  <dcterms:modified xsi:type="dcterms:W3CDTF">2024-09-05T13:52:00Z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5d33084e,25295acb,620c0129</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2024-08-15T13:26:53Z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20b7bd2c-85c9-4366-a3fa-e635a96fa5ab</vt:lpwstr>
  </property>
  <property fmtid="{D5CDD505-2E9C-101B-9397-08002B2CF9AE}" pid="11" name="MSIP_Label_8e19d756-792e-42a1-bcad-4cb9051ddd2d_ContentBits">
    <vt:lpwstr>2</vt:lpwstr>
  </property>
</Properties>
</file>